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DF056" w14:textId="11837540" w:rsidR="00FB7CFF" w:rsidRDefault="00FB7CFF" w:rsidP="008E4B73">
      <w:pPr>
        <w:ind w:right="-1"/>
        <w:rPr>
          <w:rFonts w:ascii="Times New Roman" w:hAnsi="Times New Roman" w:cs="Times New Roman"/>
          <w:b/>
          <w:bCs/>
          <w:sz w:val="20"/>
          <w:szCs w:val="20"/>
        </w:rPr>
      </w:pPr>
    </w:p>
    <w:p w14:paraId="175AFFF9" w14:textId="77777777" w:rsidR="00FB7CFF" w:rsidRDefault="00FB7CFF" w:rsidP="00561B4B">
      <w:pPr>
        <w:ind w:right="-1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8C8CF07" w14:textId="15033CC6" w:rsidR="00C2127C" w:rsidRPr="001B28F4" w:rsidRDefault="00C2127C" w:rsidP="00C2127C">
      <w:pPr>
        <w:jc w:val="center"/>
        <w:rPr>
          <w:rFonts w:ascii="Times New Roman" w:hAnsi="Times New Roman" w:cs="Times New Roman"/>
          <w:b/>
          <w:bCs/>
        </w:rPr>
      </w:pPr>
    </w:p>
    <w:p w14:paraId="5F2D887E" w14:textId="10AB1692" w:rsidR="00A9366E" w:rsidRPr="00136A39" w:rsidRDefault="006F5552" w:rsidP="00561B4B">
      <w:pPr>
        <w:ind w:right="-1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136A39">
        <w:rPr>
          <w:rFonts w:ascii="Times New Roman" w:hAnsi="Times New Roman" w:cs="Times New Roman"/>
          <w:b/>
          <w:bCs/>
          <w:color w:val="auto"/>
          <w:sz w:val="20"/>
          <w:szCs w:val="20"/>
          <w:u w:val="single"/>
        </w:rPr>
        <w:t>METODOLOGIA UTILIZADA</w:t>
      </w:r>
      <w:r w:rsidR="002C25A9" w:rsidRPr="00136A39">
        <w:rPr>
          <w:rFonts w:ascii="Times New Roman" w:hAnsi="Times New Roman" w:cs="Times New Roman"/>
          <w:b/>
          <w:bCs/>
          <w:color w:val="auto"/>
          <w:sz w:val="20"/>
          <w:szCs w:val="20"/>
        </w:rPr>
        <w:br/>
      </w:r>
      <w:r w:rsidR="00CF7396" w:rsidRPr="00136A39">
        <w:rPr>
          <w:rFonts w:ascii="Times New Roman" w:hAnsi="Times New Roman" w:cs="Times New Roman"/>
          <w:b/>
          <w:bCs/>
          <w:color w:val="auto"/>
          <w:sz w:val="20"/>
          <w:szCs w:val="20"/>
        </w:rPr>
        <w:br/>
      </w:r>
    </w:p>
    <w:p w14:paraId="70DA21E3" w14:textId="77777777" w:rsidR="00A9366E" w:rsidRPr="00561B4B" w:rsidRDefault="00A9366E" w:rsidP="0077110A">
      <w:pPr>
        <w:ind w:left="567" w:right="-567"/>
        <w:rPr>
          <w:rFonts w:ascii="Times New Roman" w:hAnsi="Times New Roman" w:cs="Times New Roman"/>
          <w:b/>
          <w:bCs/>
          <w:sz w:val="20"/>
          <w:szCs w:val="20"/>
        </w:rPr>
      </w:pPr>
    </w:p>
    <w:p w14:paraId="68252C9A" w14:textId="58144503" w:rsidR="003063B3" w:rsidRDefault="003C0622" w:rsidP="003063B3">
      <w:pPr>
        <w:jc w:val="both"/>
        <w:rPr>
          <w:rFonts w:ascii="Times New Roman" w:hAnsi="Times New Roman" w:cs="Times New Roman"/>
        </w:rPr>
      </w:pPr>
      <w:r w:rsidRPr="00F147C8">
        <w:rPr>
          <w:rFonts w:ascii="Times New Roman" w:hAnsi="Times New Roman" w:cs="Times New Roman"/>
        </w:rPr>
        <w:t xml:space="preserve">Em cumprimento ao que prescreve a </w:t>
      </w:r>
      <w:r w:rsidRPr="00A120D6">
        <w:rPr>
          <w:rFonts w:ascii="Times New Roman" w:hAnsi="Times New Roman" w:cs="Times New Roman"/>
          <w:b/>
          <w:bCs/>
        </w:rPr>
        <w:t>Instrução Normativa nº 65, de 7 de julho de 2021 (Lei 14.133)</w:t>
      </w:r>
      <w:r w:rsidRPr="00F147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que dispõe sobre o </w:t>
      </w:r>
      <w:r w:rsidRPr="00411B75">
        <w:rPr>
          <w:rFonts w:ascii="Times New Roman" w:hAnsi="Times New Roman" w:cs="Times New Roman"/>
        </w:rPr>
        <w:t>procedimento administrativo para a realização de pesquisa de preços</w:t>
      </w:r>
      <w:r>
        <w:rPr>
          <w:rFonts w:ascii="Times New Roman" w:hAnsi="Times New Roman" w:cs="Times New Roman"/>
        </w:rPr>
        <w:t xml:space="preserve">, </w:t>
      </w:r>
      <w:r w:rsidRPr="00F147C8">
        <w:rPr>
          <w:rFonts w:ascii="Times New Roman" w:hAnsi="Times New Roman" w:cs="Times New Roman"/>
        </w:rPr>
        <w:t xml:space="preserve">aplicamos a </w:t>
      </w:r>
      <w:r w:rsidRPr="00411B75">
        <w:rPr>
          <w:rFonts w:ascii="Times New Roman" w:hAnsi="Times New Roman" w:cs="Times New Roman"/>
          <w:b/>
          <w:bCs/>
        </w:rPr>
        <w:t>metodologia prevista</w:t>
      </w:r>
      <w:r w:rsidRPr="00F147C8">
        <w:rPr>
          <w:rFonts w:ascii="Times New Roman" w:hAnsi="Times New Roman" w:cs="Times New Roman"/>
        </w:rPr>
        <w:t xml:space="preserve"> no caput do </w:t>
      </w:r>
      <w:r w:rsidRPr="00110C9B">
        <w:rPr>
          <w:rFonts w:ascii="Times New Roman" w:hAnsi="Times New Roman" w:cs="Times New Roman"/>
          <w:b/>
          <w:bCs/>
        </w:rPr>
        <w:t>Art. 5º</w:t>
      </w:r>
      <w:r w:rsidRPr="00F147C8">
        <w:rPr>
          <w:rFonts w:ascii="Times New Roman" w:hAnsi="Times New Roman" w:cs="Times New Roman"/>
        </w:rPr>
        <w:t xml:space="preserve"> para obtenção do </w:t>
      </w:r>
      <w:r w:rsidRPr="00411B75">
        <w:rPr>
          <w:rFonts w:ascii="Times New Roman" w:hAnsi="Times New Roman" w:cs="Times New Roman"/>
        </w:rPr>
        <w:t>melhor preço</w:t>
      </w:r>
      <w:r w:rsidRPr="00F147C8">
        <w:rPr>
          <w:rFonts w:ascii="Times New Roman" w:hAnsi="Times New Roman" w:cs="Times New Roman"/>
        </w:rPr>
        <w:t xml:space="preserve"> de contratação, </w:t>
      </w:r>
      <w:r w:rsidRPr="00411B75">
        <w:rPr>
          <w:rFonts w:ascii="Times New Roman" w:hAnsi="Times New Roman" w:cs="Times New Roman"/>
          <w:b/>
          <w:bCs/>
        </w:rPr>
        <w:t>alinhada com as melhores práticas de mercado e compatível com os valores praticados</w:t>
      </w:r>
      <w:r w:rsidRPr="00F147C8">
        <w:rPr>
          <w:rFonts w:ascii="Times New Roman" w:hAnsi="Times New Roman" w:cs="Times New Roman"/>
        </w:rPr>
        <w:t xml:space="preserve">, conforme preços disponíveis em bancos de dados públicos, considerando as quantidades a serem contratadas, a potencial economia de escala e as peculiaridades do local de execução do objeto. Para a determinação do valor, utilizamos o parâmetro </w:t>
      </w:r>
      <w:r w:rsidR="005B307C">
        <w:rPr>
          <w:rFonts w:ascii="Times New Roman" w:hAnsi="Times New Roman" w:cs="Times New Roman"/>
        </w:rPr>
        <w:t xml:space="preserve">do Inc </w:t>
      </w:r>
      <w:r w:rsidR="00D95048">
        <w:rPr>
          <w:rFonts w:ascii="Times New Roman" w:hAnsi="Times New Roman" w:cs="Times New Roman"/>
        </w:rPr>
        <w:t>IV</w:t>
      </w:r>
      <w:r w:rsidRPr="00F147C8">
        <w:rPr>
          <w:rFonts w:ascii="Times New Roman" w:hAnsi="Times New Roman" w:cs="Times New Roman"/>
        </w:rPr>
        <w:t>, conforme previstos no referido artigo, assegurando que o preço estimado reflita a realidade de mercado e as especificidades do objeto contratado.</w:t>
      </w:r>
      <w:r>
        <w:rPr>
          <w:rFonts w:ascii="Times New Roman" w:hAnsi="Times New Roman" w:cs="Times New Roman"/>
        </w:rPr>
        <w:t xml:space="preserve"> </w:t>
      </w:r>
    </w:p>
    <w:p w14:paraId="16632548" w14:textId="77777777" w:rsidR="00E32C4E" w:rsidRDefault="00E32C4E" w:rsidP="003063B3">
      <w:pPr>
        <w:jc w:val="both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38"/>
        <w:gridCol w:w="2572"/>
        <w:gridCol w:w="1578"/>
        <w:gridCol w:w="1572"/>
        <w:gridCol w:w="1611"/>
        <w:gridCol w:w="1599"/>
      </w:tblGrid>
      <w:tr w:rsidR="00AD51F9" w14:paraId="0055E181" w14:textId="77777777" w:rsidTr="00373593">
        <w:tc>
          <w:tcPr>
            <w:tcW w:w="838" w:type="dxa"/>
          </w:tcPr>
          <w:p w14:paraId="03D99E8F" w14:textId="27BB02D3" w:rsidR="00AD51F9" w:rsidRPr="00E123D2" w:rsidRDefault="00AD51F9" w:rsidP="003063B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123D2">
              <w:rPr>
                <w:rFonts w:ascii="Times New Roman" w:hAnsi="Times New Roman" w:cs="Times New Roman"/>
                <w:b/>
                <w:bCs/>
              </w:rPr>
              <w:t>ITEM</w:t>
            </w:r>
          </w:p>
        </w:tc>
        <w:tc>
          <w:tcPr>
            <w:tcW w:w="2572" w:type="dxa"/>
          </w:tcPr>
          <w:p w14:paraId="4EA476F1" w14:textId="556EA1E7" w:rsidR="00AD51F9" w:rsidRPr="00E123D2" w:rsidRDefault="00AD51F9" w:rsidP="003063B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123D2">
              <w:rPr>
                <w:rFonts w:ascii="Times New Roman" w:hAnsi="Times New Roman" w:cs="Times New Roman"/>
                <w:b/>
                <w:bCs/>
              </w:rPr>
              <w:t>OBJETO</w:t>
            </w:r>
          </w:p>
        </w:tc>
        <w:tc>
          <w:tcPr>
            <w:tcW w:w="1578" w:type="dxa"/>
          </w:tcPr>
          <w:p w14:paraId="1673CEB9" w14:textId="71AA12D8" w:rsidR="00AD51F9" w:rsidRPr="00E123D2" w:rsidRDefault="00AD51F9" w:rsidP="003063B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123D2">
              <w:rPr>
                <w:rFonts w:ascii="Times New Roman" w:hAnsi="Times New Roman" w:cs="Times New Roman"/>
                <w:b/>
                <w:bCs/>
              </w:rPr>
              <w:t>MENOR PREÇO</w:t>
            </w:r>
          </w:p>
        </w:tc>
        <w:tc>
          <w:tcPr>
            <w:tcW w:w="1572" w:type="dxa"/>
          </w:tcPr>
          <w:p w14:paraId="73CE5A82" w14:textId="713FCD79" w:rsidR="00AD51F9" w:rsidRPr="00E123D2" w:rsidRDefault="00AD51F9" w:rsidP="003063B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123D2">
              <w:rPr>
                <w:rFonts w:ascii="Times New Roman" w:hAnsi="Times New Roman" w:cs="Times New Roman"/>
                <w:b/>
                <w:bCs/>
              </w:rPr>
              <w:t>MÉDIA DE PREÇO</w:t>
            </w:r>
          </w:p>
        </w:tc>
        <w:tc>
          <w:tcPr>
            <w:tcW w:w="1611" w:type="dxa"/>
          </w:tcPr>
          <w:p w14:paraId="4E731C1F" w14:textId="0D2CE23A" w:rsidR="00AD51F9" w:rsidRPr="00E123D2" w:rsidRDefault="00AD51F9" w:rsidP="003063B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123D2">
              <w:rPr>
                <w:rFonts w:ascii="Times New Roman" w:hAnsi="Times New Roman" w:cs="Times New Roman"/>
                <w:b/>
                <w:bCs/>
              </w:rPr>
              <w:t>REGISTROS</w:t>
            </w:r>
          </w:p>
        </w:tc>
        <w:tc>
          <w:tcPr>
            <w:tcW w:w="1599" w:type="dxa"/>
          </w:tcPr>
          <w:p w14:paraId="310AA482" w14:textId="0DF8732D" w:rsidR="00AD51F9" w:rsidRPr="00E123D2" w:rsidRDefault="00AD51F9" w:rsidP="003063B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123D2">
              <w:rPr>
                <w:rFonts w:ascii="Times New Roman" w:hAnsi="Times New Roman" w:cs="Times New Roman"/>
                <w:b/>
                <w:bCs/>
              </w:rPr>
              <w:t>MEDIANA DO BANCO DE PREÇOS</w:t>
            </w:r>
          </w:p>
        </w:tc>
      </w:tr>
      <w:tr w:rsidR="00F85928" w14:paraId="381120FF" w14:textId="77777777" w:rsidTr="008331B4">
        <w:tc>
          <w:tcPr>
            <w:tcW w:w="838" w:type="dxa"/>
          </w:tcPr>
          <w:p w14:paraId="72BBBC91" w14:textId="77777777" w:rsidR="00F85928" w:rsidRPr="005C6F72" w:rsidRDefault="00F85928" w:rsidP="00F85928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vAlign w:val="center"/>
          </w:tcPr>
          <w:p w14:paraId="73799837" w14:textId="77777777" w:rsidR="00F85928" w:rsidRDefault="00F85928" w:rsidP="00F85928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INTERCOMUNICADOR.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Microfone Pedestal. Características mínimas: Corpo redondo de 4” em alumínio usinado e anodizado na cor natural brilhante. Sistema MUTE AUTOMÁTICO temporizado para o canal externo. Sistema HIGHT VOICE – sistema automático digital do controle de volume para o canal externo, com ajuste de sensibilidade de 1 a 10. Sistema PTT AUTOMÁTICO – com ajuste de sensibilidade de 1 a 10. Controles de volume individuais para os canais interno e externo. Indicador de estágio luminoso frontal no painel de comando para canais externo e interno. Base rígida e haste do microfone totalmente flexível com 45 cm de comprimento Alimentação com fonte de 12 vcc estabilizada com entrada para (110 VAC OU 220 VAC). </w:t>
            </w:r>
          </w:p>
          <w:p w14:paraId="273E0202" w14:textId="1AD1646D" w:rsidR="00F85928" w:rsidRDefault="00F85928" w:rsidP="00F859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Características mínimas eletrônicas: Painel frontal com chaves liga/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desliga.(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MUTE/GERAL). Áudio frequência de resposta: sensível modulada para o máximo de voz com interagibilidade. Potência em PMPO: 50 W. Distorção: menor que 2%. Modo audível: 20dB de compressão . Microfones tipo PEDESTAL.         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Modelo Intercomunicador Modelo Pedestal Tipo de produto Porteiro eletrônico/frente. Cor: Alumínio Anodizado na cor Natural Brilhante, Voltagem: 127/220V, Quantidade de botões: 4, Tipo de alimentação: Corrente elétrica, Tipo de telefone Com fio. Garantia mínima de 12 meses.</w:t>
            </w:r>
          </w:p>
        </w:tc>
        <w:tc>
          <w:tcPr>
            <w:tcW w:w="1578" w:type="dxa"/>
          </w:tcPr>
          <w:p w14:paraId="10DFDFF8" w14:textId="49FCBFE1" w:rsidR="00F85928" w:rsidRDefault="001C0E67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R$ </w:t>
            </w:r>
            <w:r w:rsidR="00A02BAA">
              <w:rPr>
                <w:rFonts w:ascii="Times New Roman" w:hAnsi="Times New Roman" w:cs="Times New Roman"/>
              </w:rPr>
              <w:t>357,30</w:t>
            </w:r>
          </w:p>
        </w:tc>
        <w:tc>
          <w:tcPr>
            <w:tcW w:w="1572" w:type="dxa"/>
          </w:tcPr>
          <w:p w14:paraId="779FED61" w14:textId="18D05560" w:rsidR="00F85928" w:rsidRDefault="00A02BAA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R$ 2.590,5375</w:t>
            </w:r>
          </w:p>
        </w:tc>
        <w:tc>
          <w:tcPr>
            <w:tcW w:w="1611" w:type="dxa"/>
          </w:tcPr>
          <w:p w14:paraId="4D629C98" w14:textId="767B4BD6" w:rsidR="00F85928" w:rsidRDefault="009C24B9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99" w:type="dxa"/>
          </w:tcPr>
          <w:p w14:paraId="5B1E64E2" w14:textId="5869E20D" w:rsidR="00F85928" w:rsidRDefault="00A02BAA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R$ 2.699,00</w:t>
            </w:r>
          </w:p>
        </w:tc>
      </w:tr>
      <w:tr w:rsidR="00F85928" w14:paraId="430C53CD" w14:textId="77777777" w:rsidTr="00373593">
        <w:tc>
          <w:tcPr>
            <w:tcW w:w="838" w:type="dxa"/>
          </w:tcPr>
          <w:p w14:paraId="1E2DB1E4" w14:textId="77777777" w:rsidR="00F85928" w:rsidRPr="005C6F72" w:rsidRDefault="00F85928" w:rsidP="00F85928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</w:tcPr>
          <w:p w14:paraId="5A0E2AC7" w14:textId="6603C417" w:rsidR="00F85928" w:rsidRDefault="0062626E" w:rsidP="00F859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Switch Core Agregador de Fibra (10Gbps):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Características mínimas: 08 portas SFP+ de 10Gbps. Deve suportar Layer 3, com porta de console RJ45 e gerenciamento via CLI e Web. Arquitetura "Non-blocking" com throughput de 160 Gbps. </w:t>
            </w:r>
          </w:p>
        </w:tc>
        <w:tc>
          <w:tcPr>
            <w:tcW w:w="1578" w:type="dxa"/>
          </w:tcPr>
          <w:p w14:paraId="6C8C01E9" w14:textId="1E5A7F8C" w:rsidR="00F85928" w:rsidRDefault="00A15807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R$ 1.404,00</w:t>
            </w:r>
          </w:p>
        </w:tc>
        <w:tc>
          <w:tcPr>
            <w:tcW w:w="1572" w:type="dxa"/>
          </w:tcPr>
          <w:p w14:paraId="52323DE1" w14:textId="3165B60E" w:rsidR="00F85928" w:rsidRDefault="00A15807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R$ 4.692,5620</w:t>
            </w:r>
          </w:p>
        </w:tc>
        <w:tc>
          <w:tcPr>
            <w:tcW w:w="1611" w:type="dxa"/>
          </w:tcPr>
          <w:p w14:paraId="6C7CD2DA" w14:textId="1AAAFA67" w:rsidR="00F85928" w:rsidRDefault="00332CDB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9" w:type="dxa"/>
          </w:tcPr>
          <w:p w14:paraId="0BB1E78A" w14:textId="13483EED" w:rsidR="00F85928" w:rsidRDefault="00A15807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R$ 2.298,24</w:t>
            </w:r>
          </w:p>
        </w:tc>
      </w:tr>
      <w:tr w:rsidR="00F85928" w14:paraId="2F8EDF88" w14:textId="77777777" w:rsidTr="00373593">
        <w:tc>
          <w:tcPr>
            <w:tcW w:w="838" w:type="dxa"/>
          </w:tcPr>
          <w:p w14:paraId="2F2CCEDE" w14:textId="77777777" w:rsidR="00F85928" w:rsidRPr="005C6F72" w:rsidRDefault="00F85928" w:rsidP="00F85928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</w:tcPr>
          <w:p w14:paraId="6508D89D" w14:textId="39868165" w:rsidR="00F85928" w:rsidRDefault="00AB4B4B" w:rsidP="00F859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Switch de Borda PoE+ Managed L3 (24p).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Características mínimas: 24 portas RJ45 10/100/1000 Mbps PoE+ (IEEE 802.3at/af) com orçamento total de 384W. Deve possuir 04 slots SFP+ de 10Gbps fixos. Integração nativa com ecossistema de gerenciamento SDN. </w:t>
            </w:r>
          </w:p>
        </w:tc>
        <w:tc>
          <w:tcPr>
            <w:tcW w:w="1578" w:type="dxa"/>
          </w:tcPr>
          <w:p w14:paraId="1F6AE132" w14:textId="29D94E89" w:rsidR="00F85928" w:rsidRDefault="00A15807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R$ </w:t>
            </w:r>
            <w:r w:rsidR="006D0703">
              <w:rPr>
                <w:rFonts w:ascii="Times New Roman" w:hAnsi="Times New Roman" w:cs="Times New Roman"/>
              </w:rPr>
              <w:t>1.129,00</w:t>
            </w:r>
          </w:p>
        </w:tc>
        <w:tc>
          <w:tcPr>
            <w:tcW w:w="1572" w:type="dxa"/>
          </w:tcPr>
          <w:p w14:paraId="624DECB1" w14:textId="6F316408" w:rsidR="00F85928" w:rsidRDefault="00A15807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R$ </w:t>
            </w:r>
            <w:r w:rsidR="006D0703">
              <w:rPr>
                <w:rFonts w:ascii="Times New Roman" w:hAnsi="Times New Roman" w:cs="Times New Roman"/>
              </w:rPr>
              <w:t>5.378,9933</w:t>
            </w:r>
          </w:p>
        </w:tc>
        <w:tc>
          <w:tcPr>
            <w:tcW w:w="1611" w:type="dxa"/>
          </w:tcPr>
          <w:p w14:paraId="627E1E9C" w14:textId="2C55054E" w:rsidR="00F85928" w:rsidRDefault="00332CDB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9" w:type="dxa"/>
          </w:tcPr>
          <w:p w14:paraId="1B693E7C" w14:textId="3C9778F8" w:rsidR="00F85928" w:rsidRDefault="00A15807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R$ </w:t>
            </w:r>
            <w:r w:rsidR="006D0703">
              <w:rPr>
                <w:rFonts w:ascii="Times New Roman" w:hAnsi="Times New Roman" w:cs="Times New Roman"/>
              </w:rPr>
              <w:t>7.350,00</w:t>
            </w:r>
          </w:p>
        </w:tc>
      </w:tr>
      <w:tr w:rsidR="00F85928" w14:paraId="5C987280" w14:textId="77777777" w:rsidTr="00373593">
        <w:tc>
          <w:tcPr>
            <w:tcW w:w="838" w:type="dxa"/>
          </w:tcPr>
          <w:p w14:paraId="1A4BADD1" w14:textId="77777777" w:rsidR="00F85928" w:rsidRPr="005C6F72" w:rsidRDefault="00F85928" w:rsidP="00F85928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</w:tcPr>
          <w:p w14:paraId="6457E4B2" w14:textId="781ECDC3" w:rsidR="00F85928" w:rsidRDefault="003E3D09" w:rsidP="00F859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Switch de Borda Dados L3 (48p). Características mínimas: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48 portas RJ45 10/100/1000 Mbps. Deve possuir 04 slots SFP+ de 10Gbps fixos. Suporte a Static Routing, ACL e VLANs de voz/dados. Gerenciamento centralizado via Nuvem. </w:t>
            </w:r>
          </w:p>
        </w:tc>
        <w:tc>
          <w:tcPr>
            <w:tcW w:w="1578" w:type="dxa"/>
          </w:tcPr>
          <w:p w14:paraId="1AED5C3B" w14:textId="604D58FB" w:rsidR="00F85928" w:rsidRDefault="00A15807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R$ </w:t>
            </w:r>
            <w:r w:rsidR="006D0703">
              <w:rPr>
                <w:rFonts w:ascii="Times New Roman" w:hAnsi="Times New Roman" w:cs="Times New Roman"/>
              </w:rPr>
              <w:t>2.019,99</w:t>
            </w:r>
          </w:p>
        </w:tc>
        <w:tc>
          <w:tcPr>
            <w:tcW w:w="1572" w:type="dxa"/>
          </w:tcPr>
          <w:p w14:paraId="1EF7F590" w14:textId="209404A7" w:rsidR="00F85928" w:rsidRDefault="00A15807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R$ 3.</w:t>
            </w:r>
            <w:r w:rsidR="006D0703">
              <w:rPr>
                <w:rFonts w:ascii="Times New Roman" w:hAnsi="Times New Roman" w:cs="Times New Roman"/>
              </w:rPr>
              <w:t>724,6344</w:t>
            </w:r>
          </w:p>
        </w:tc>
        <w:tc>
          <w:tcPr>
            <w:tcW w:w="1611" w:type="dxa"/>
          </w:tcPr>
          <w:p w14:paraId="29945CA5" w14:textId="3C974416" w:rsidR="00F85928" w:rsidRDefault="0090246A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E79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99" w:type="dxa"/>
          </w:tcPr>
          <w:p w14:paraId="3BB2FCC9" w14:textId="462559BE" w:rsidR="00F85928" w:rsidRDefault="00A15807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R$ 3.</w:t>
            </w:r>
            <w:r w:rsidR="006D0703">
              <w:rPr>
                <w:rFonts w:ascii="Times New Roman" w:hAnsi="Times New Roman" w:cs="Times New Roman"/>
              </w:rPr>
              <w:t>674,00</w:t>
            </w:r>
          </w:p>
        </w:tc>
      </w:tr>
      <w:tr w:rsidR="00F85928" w14:paraId="3430797B" w14:textId="77777777" w:rsidTr="00373593">
        <w:tc>
          <w:tcPr>
            <w:tcW w:w="838" w:type="dxa"/>
          </w:tcPr>
          <w:p w14:paraId="33FF4D3A" w14:textId="77777777" w:rsidR="00F85928" w:rsidRPr="005C6F72" w:rsidRDefault="00F85928" w:rsidP="00F85928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</w:tcPr>
          <w:p w14:paraId="64426676" w14:textId="50C8BC62" w:rsidR="00F85928" w:rsidRDefault="00391CBE" w:rsidP="00F859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Switch Externo PoE Passthrough (IP55).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Características mínimas: 05 portas Gigabit, sendo 01 porta de entrada PoE++ (802.3bt) e 04 portas de saída PoE+ (802.3at). Proteção contra surtos de 4KV e gabinete resistente a UV/Chuva. </w:t>
            </w:r>
          </w:p>
        </w:tc>
        <w:tc>
          <w:tcPr>
            <w:tcW w:w="1578" w:type="dxa"/>
          </w:tcPr>
          <w:p w14:paraId="6261A624" w14:textId="0CC201A0" w:rsidR="00F85928" w:rsidRDefault="00A15807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R$ 517,00</w:t>
            </w:r>
          </w:p>
        </w:tc>
        <w:tc>
          <w:tcPr>
            <w:tcW w:w="1572" w:type="dxa"/>
          </w:tcPr>
          <w:p w14:paraId="572F94C9" w14:textId="0AE224DB" w:rsidR="00F85928" w:rsidRDefault="00A15807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</w:t>
            </w:r>
            <w:r w:rsidR="005C070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1.146,9975</w:t>
            </w:r>
          </w:p>
        </w:tc>
        <w:tc>
          <w:tcPr>
            <w:tcW w:w="1611" w:type="dxa"/>
          </w:tcPr>
          <w:p w14:paraId="576BB776" w14:textId="121BCF0B" w:rsidR="00F85928" w:rsidRDefault="007E7923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9" w:type="dxa"/>
          </w:tcPr>
          <w:p w14:paraId="5A6A1EE7" w14:textId="530ED266" w:rsidR="00F85928" w:rsidRDefault="00A15807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R$ 737,9950</w:t>
            </w:r>
          </w:p>
        </w:tc>
      </w:tr>
      <w:tr w:rsidR="00F85928" w14:paraId="737335AE" w14:textId="77777777" w:rsidTr="00373593">
        <w:tc>
          <w:tcPr>
            <w:tcW w:w="838" w:type="dxa"/>
          </w:tcPr>
          <w:p w14:paraId="7E7EA9DD" w14:textId="77777777" w:rsidR="00F85928" w:rsidRPr="005C6F72" w:rsidRDefault="00F85928" w:rsidP="00F85928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</w:tcPr>
          <w:p w14:paraId="5C478CA1" w14:textId="3FEFCFE5" w:rsidR="00F85928" w:rsidRDefault="00C1155A" w:rsidP="00F859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Access Point Wi-Fi 6 Alta Densidade (AX5400).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Características mínimas: Padrão 802.11ax. Velocidades de até 4804 Mbps em 5GHz (HE160). Suporte a MIMO 4x4, Seamless Roaming (802.11k/v) e gerenciamento centralizado SDN. </w:t>
            </w:r>
          </w:p>
        </w:tc>
        <w:tc>
          <w:tcPr>
            <w:tcW w:w="1578" w:type="dxa"/>
          </w:tcPr>
          <w:p w14:paraId="3FEAD461" w14:textId="3F58874D" w:rsidR="00F85928" w:rsidRDefault="00A15807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R$ 1.351,77</w:t>
            </w:r>
          </w:p>
        </w:tc>
        <w:tc>
          <w:tcPr>
            <w:tcW w:w="1572" w:type="dxa"/>
          </w:tcPr>
          <w:p w14:paraId="2EE2698D" w14:textId="539BA9D3" w:rsidR="00F85928" w:rsidRDefault="00A15807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R$ </w:t>
            </w:r>
            <w:r w:rsidR="005C0705">
              <w:rPr>
                <w:rFonts w:ascii="Times New Roman" w:hAnsi="Times New Roman" w:cs="Times New Roman"/>
              </w:rPr>
              <w:t>1.680,3667</w:t>
            </w:r>
          </w:p>
        </w:tc>
        <w:tc>
          <w:tcPr>
            <w:tcW w:w="1611" w:type="dxa"/>
          </w:tcPr>
          <w:p w14:paraId="3EF817AC" w14:textId="472C303B" w:rsidR="00F85928" w:rsidRDefault="00EC3BD9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9" w:type="dxa"/>
          </w:tcPr>
          <w:p w14:paraId="4EB0E5F8" w14:textId="39AB0FDC" w:rsidR="00F85928" w:rsidRDefault="005C0705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R$ 1.469,00</w:t>
            </w:r>
          </w:p>
        </w:tc>
      </w:tr>
      <w:tr w:rsidR="00F85928" w14:paraId="69C8EED8" w14:textId="77777777" w:rsidTr="00373593">
        <w:tc>
          <w:tcPr>
            <w:tcW w:w="838" w:type="dxa"/>
          </w:tcPr>
          <w:p w14:paraId="2C0FF565" w14:textId="77777777" w:rsidR="00F85928" w:rsidRPr="005C6F72" w:rsidRDefault="00F85928" w:rsidP="00F85928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</w:tcPr>
          <w:p w14:paraId="7B45FCC7" w14:textId="6E076B4A" w:rsidR="00F85928" w:rsidRDefault="005D2891" w:rsidP="00F859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Access Point Wi-Fi 6 Outdoor (AX3000).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Características mínimas:</w:t>
            </w: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Grau de proteção IP67. Tecnologia Wi-Fi 6 com canal de 160MHz. Antenas de alto ganho com Beamforming. Suporte a Mesh e Roaming Contínuo. </w:t>
            </w:r>
          </w:p>
        </w:tc>
        <w:tc>
          <w:tcPr>
            <w:tcW w:w="1578" w:type="dxa"/>
          </w:tcPr>
          <w:p w14:paraId="46FF5D5F" w14:textId="152FC769" w:rsidR="00F85928" w:rsidRDefault="005C0705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R$ 623,00</w:t>
            </w:r>
          </w:p>
        </w:tc>
        <w:tc>
          <w:tcPr>
            <w:tcW w:w="1572" w:type="dxa"/>
          </w:tcPr>
          <w:p w14:paraId="4DADE1BF" w14:textId="05AB094A" w:rsidR="00F85928" w:rsidRDefault="005C0705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R$ 1.623,85</w:t>
            </w:r>
          </w:p>
        </w:tc>
        <w:tc>
          <w:tcPr>
            <w:tcW w:w="1611" w:type="dxa"/>
          </w:tcPr>
          <w:p w14:paraId="22BA4D3B" w14:textId="054331FC" w:rsidR="00F85928" w:rsidRDefault="00EC3BD9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99" w:type="dxa"/>
          </w:tcPr>
          <w:p w14:paraId="6031990A" w14:textId="234D6BAD" w:rsidR="00F85928" w:rsidRDefault="005C0705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R$ 1.410,3850</w:t>
            </w:r>
          </w:p>
        </w:tc>
      </w:tr>
      <w:tr w:rsidR="00F85928" w14:paraId="3F562C57" w14:textId="77777777" w:rsidTr="00373593">
        <w:tc>
          <w:tcPr>
            <w:tcW w:w="838" w:type="dxa"/>
          </w:tcPr>
          <w:p w14:paraId="6E352DD0" w14:textId="77777777" w:rsidR="00F85928" w:rsidRPr="005C6F72" w:rsidRDefault="00F85928" w:rsidP="00F85928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</w:tcPr>
          <w:p w14:paraId="092B7123" w14:textId="2DABF3B0" w:rsidR="00F85928" w:rsidRDefault="00630676" w:rsidP="00F859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Gravador de Vídeo em Rede (NVR) 32 Canais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. Características mínimas: Suporte a câmeras de até 8MP (4K). Compressão H.265+. Mínimo de 04 baias para HD SATA (até 10TB cada). Saída HDMI 4K independente. </w:t>
            </w:r>
          </w:p>
        </w:tc>
        <w:tc>
          <w:tcPr>
            <w:tcW w:w="1578" w:type="dxa"/>
          </w:tcPr>
          <w:p w14:paraId="62A006D5" w14:textId="0A7108FD" w:rsidR="00F85928" w:rsidRDefault="005C0705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R$ 1</w:t>
            </w:r>
            <w:r w:rsidR="006D0703">
              <w:rPr>
                <w:rFonts w:ascii="Times New Roman" w:hAnsi="Times New Roman" w:cs="Times New Roman"/>
              </w:rPr>
              <w:t>280,00</w:t>
            </w:r>
          </w:p>
        </w:tc>
        <w:tc>
          <w:tcPr>
            <w:tcW w:w="1572" w:type="dxa"/>
          </w:tcPr>
          <w:p w14:paraId="3032FF48" w14:textId="28793064" w:rsidR="00F85928" w:rsidRDefault="001B65C6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R$ 2.</w:t>
            </w:r>
            <w:r w:rsidR="006D0703">
              <w:rPr>
                <w:rFonts w:ascii="Times New Roman" w:hAnsi="Times New Roman" w:cs="Times New Roman"/>
              </w:rPr>
              <w:t>717,7980</w:t>
            </w:r>
          </w:p>
        </w:tc>
        <w:tc>
          <w:tcPr>
            <w:tcW w:w="1611" w:type="dxa"/>
          </w:tcPr>
          <w:p w14:paraId="2F784832" w14:textId="03314776" w:rsidR="00F85928" w:rsidRDefault="006D0703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9" w:type="dxa"/>
          </w:tcPr>
          <w:p w14:paraId="3476743E" w14:textId="4D0524E1" w:rsidR="00F85928" w:rsidRDefault="001B65C6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R$ </w:t>
            </w:r>
            <w:r w:rsidR="006D0703">
              <w:rPr>
                <w:rFonts w:ascii="Times New Roman" w:hAnsi="Times New Roman" w:cs="Times New Roman"/>
              </w:rPr>
              <w:t>3.300,00</w:t>
            </w:r>
          </w:p>
        </w:tc>
      </w:tr>
      <w:tr w:rsidR="00F85928" w14:paraId="1D8ACF34" w14:textId="77777777" w:rsidTr="00373593">
        <w:tc>
          <w:tcPr>
            <w:tcW w:w="838" w:type="dxa"/>
          </w:tcPr>
          <w:p w14:paraId="67EFD9D3" w14:textId="77777777" w:rsidR="00F85928" w:rsidRPr="005C6F72" w:rsidRDefault="00F85928" w:rsidP="00F85928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</w:tcPr>
          <w:p w14:paraId="778453C8" w14:textId="38B07FE1" w:rsidR="00F85928" w:rsidRDefault="00D46797" w:rsidP="00F859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HD Surveillance 8TB.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Características mínimas: Disco rígido específico para vigilância 24/7. Tecnologia de gravação CMR. Buffer mínimo de 256MB. </w:t>
            </w:r>
          </w:p>
        </w:tc>
        <w:tc>
          <w:tcPr>
            <w:tcW w:w="1578" w:type="dxa"/>
          </w:tcPr>
          <w:p w14:paraId="2A8F2195" w14:textId="005E61B5" w:rsidR="00F85928" w:rsidRDefault="001B65C6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R$ 900,00</w:t>
            </w:r>
          </w:p>
        </w:tc>
        <w:tc>
          <w:tcPr>
            <w:tcW w:w="1572" w:type="dxa"/>
          </w:tcPr>
          <w:p w14:paraId="500829C5" w14:textId="6319D501" w:rsidR="00F85928" w:rsidRDefault="001B65C6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R$ 1.860,1433</w:t>
            </w:r>
          </w:p>
        </w:tc>
        <w:tc>
          <w:tcPr>
            <w:tcW w:w="1611" w:type="dxa"/>
          </w:tcPr>
          <w:p w14:paraId="64373FD5" w14:textId="05076ADA" w:rsidR="00F85928" w:rsidRDefault="009A2367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99" w:type="dxa"/>
          </w:tcPr>
          <w:p w14:paraId="3698C358" w14:textId="555D3A94" w:rsidR="00F85928" w:rsidRDefault="001B65C6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R$ 1.635,29</w:t>
            </w:r>
          </w:p>
        </w:tc>
      </w:tr>
      <w:tr w:rsidR="00F85928" w14:paraId="56155124" w14:textId="77777777" w:rsidTr="00373593">
        <w:tc>
          <w:tcPr>
            <w:tcW w:w="838" w:type="dxa"/>
          </w:tcPr>
          <w:p w14:paraId="713BB543" w14:textId="77777777" w:rsidR="00F85928" w:rsidRPr="005C6F72" w:rsidRDefault="00F85928" w:rsidP="00F85928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</w:tcPr>
          <w:p w14:paraId="1AA5AE19" w14:textId="6626A584" w:rsidR="00F85928" w:rsidRDefault="00E43A55" w:rsidP="00F859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Câmera IP PTZ 4MP Full-Color.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Características mínimas: Resolução 2560x1440. Rotação 360° (Pan/Tilt). Proteção IP66. Visão noturna colorida e detecção inteligente de pessoas/veículos. </w:t>
            </w:r>
          </w:p>
        </w:tc>
        <w:tc>
          <w:tcPr>
            <w:tcW w:w="1578" w:type="dxa"/>
          </w:tcPr>
          <w:p w14:paraId="6114B824" w14:textId="686D09D6" w:rsidR="00F85928" w:rsidRDefault="00AB4B52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R$ 950,00</w:t>
            </w:r>
          </w:p>
        </w:tc>
        <w:tc>
          <w:tcPr>
            <w:tcW w:w="1572" w:type="dxa"/>
          </w:tcPr>
          <w:p w14:paraId="72E92CB8" w14:textId="52258A1C" w:rsidR="00F85928" w:rsidRDefault="00AB4B52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R$ 971,9967</w:t>
            </w:r>
          </w:p>
        </w:tc>
        <w:tc>
          <w:tcPr>
            <w:tcW w:w="1611" w:type="dxa"/>
          </w:tcPr>
          <w:p w14:paraId="76658168" w14:textId="64F7D51A" w:rsidR="00F85928" w:rsidRDefault="00493087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9" w:type="dxa"/>
          </w:tcPr>
          <w:p w14:paraId="2F2268A5" w14:textId="5CD9C5AB" w:rsidR="00F85928" w:rsidRDefault="00AB4B52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R$ 979,00</w:t>
            </w:r>
          </w:p>
        </w:tc>
      </w:tr>
      <w:tr w:rsidR="00F85928" w14:paraId="4A5181BB" w14:textId="77777777" w:rsidTr="00373593">
        <w:tc>
          <w:tcPr>
            <w:tcW w:w="838" w:type="dxa"/>
          </w:tcPr>
          <w:p w14:paraId="0AD6ABB2" w14:textId="77777777" w:rsidR="00F85928" w:rsidRPr="005C6F72" w:rsidRDefault="00F85928" w:rsidP="00F85928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</w:tcPr>
          <w:p w14:paraId="6885886E" w14:textId="73A89D6E" w:rsidR="00F85928" w:rsidRDefault="00CF6AF0" w:rsidP="00F859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Câmera IP Fixa 4MP Externa.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Características mínimas: Lente de 2.8mm ou 4mm. Proteção IP67. Áudio bidirecional e suporte a PoE. Visão noturna colorida (Full-Color). </w:t>
            </w:r>
          </w:p>
        </w:tc>
        <w:tc>
          <w:tcPr>
            <w:tcW w:w="1578" w:type="dxa"/>
          </w:tcPr>
          <w:p w14:paraId="65CFC9B6" w14:textId="1BB6452E" w:rsidR="00F85928" w:rsidRDefault="00AB4B52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R$ 306,00</w:t>
            </w:r>
          </w:p>
        </w:tc>
        <w:tc>
          <w:tcPr>
            <w:tcW w:w="1572" w:type="dxa"/>
          </w:tcPr>
          <w:p w14:paraId="6F7A3E94" w14:textId="4800A0D4" w:rsidR="00F85928" w:rsidRDefault="00AB4B52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R$ 591,4533</w:t>
            </w:r>
          </w:p>
        </w:tc>
        <w:tc>
          <w:tcPr>
            <w:tcW w:w="1611" w:type="dxa"/>
          </w:tcPr>
          <w:p w14:paraId="3FBFB072" w14:textId="00303488" w:rsidR="00F85928" w:rsidRDefault="000D76F9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99" w:type="dxa"/>
          </w:tcPr>
          <w:p w14:paraId="37E0E8D8" w14:textId="6B87F0F0" w:rsidR="00F85928" w:rsidRDefault="00AB4B52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R$ 490,50</w:t>
            </w:r>
          </w:p>
        </w:tc>
      </w:tr>
      <w:tr w:rsidR="00F85928" w14:paraId="79E1EA6C" w14:textId="77777777" w:rsidTr="00373593">
        <w:tc>
          <w:tcPr>
            <w:tcW w:w="838" w:type="dxa"/>
          </w:tcPr>
          <w:p w14:paraId="33EAC5EA" w14:textId="77777777" w:rsidR="00F85928" w:rsidRPr="005C6F72" w:rsidRDefault="00F85928" w:rsidP="00F85928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</w:tcPr>
          <w:p w14:paraId="50B779D3" w14:textId="0DBBB53B" w:rsidR="00F85928" w:rsidRDefault="00DF5102" w:rsidP="00F859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Cabo DAC SFP+ 10Gbps (1m). Características mínimas: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Cabo de cobre de conexão direta passiva. Blindagem Twinax 30AWG. Latência ultra-baixa. Padrão SFF-8431.</w:t>
            </w:r>
          </w:p>
        </w:tc>
        <w:tc>
          <w:tcPr>
            <w:tcW w:w="1578" w:type="dxa"/>
          </w:tcPr>
          <w:p w14:paraId="29C968FF" w14:textId="3C694BE4" w:rsidR="00F85928" w:rsidRDefault="00AB4B52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R$ 159,00</w:t>
            </w:r>
          </w:p>
        </w:tc>
        <w:tc>
          <w:tcPr>
            <w:tcW w:w="1572" w:type="dxa"/>
          </w:tcPr>
          <w:p w14:paraId="2ECDD435" w14:textId="0C49FEE7" w:rsidR="00F85928" w:rsidRDefault="00AB4B52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R$ 402,5440</w:t>
            </w:r>
          </w:p>
        </w:tc>
        <w:tc>
          <w:tcPr>
            <w:tcW w:w="1611" w:type="dxa"/>
          </w:tcPr>
          <w:p w14:paraId="2952B95E" w14:textId="5A143CEC" w:rsidR="00F85928" w:rsidRDefault="00294C35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9" w:type="dxa"/>
          </w:tcPr>
          <w:p w14:paraId="659E02E5" w14:textId="200C1C7F" w:rsidR="00F85928" w:rsidRDefault="00AB4B52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R$ 355,60</w:t>
            </w:r>
          </w:p>
        </w:tc>
      </w:tr>
      <w:tr w:rsidR="00F85928" w14:paraId="0EFB6EB6" w14:textId="77777777" w:rsidTr="00373593">
        <w:tc>
          <w:tcPr>
            <w:tcW w:w="838" w:type="dxa"/>
          </w:tcPr>
          <w:p w14:paraId="6AEB2C44" w14:textId="77777777" w:rsidR="00F85928" w:rsidRPr="005C6F72" w:rsidRDefault="00F85928" w:rsidP="00F85928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</w:tcPr>
          <w:p w14:paraId="5B0E106E" w14:textId="37CC155B" w:rsidR="00F85928" w:rsidRDefault="00BB4D68" w:rsidP="00F859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Nobreak Senoidal Puro 2000VA Rack.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Características mínimas:</w:t>
            </w: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Formato 2U para rack 19". Saída senoidal pura. Bivolt automático. Conector para expansão de baterias externa.</w:t>
            </w:r>
          </w:p>
        </w:tc>
        <w:tc>
          <w:tcPr>
            <w:tcW w:w="1578" w:type="dxa"/>
          </w:tcPr>
          <w:p w14:paraId="4599432C" w14:textId="5E4F0C34" w:rsidR="00F85928" w:rsidRDefault="00AB040A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R$ 1.186,00</w:t>
            </w:r>
          </w:p>
        </w:tc>
        <w:tc>
          <w:tcPr>
            <w:tcW w:w="1572" w:type="dxa"/>
          </w:tcPr>
          <w:p w14:paraId="23B2C873" w14:textId="5816B3CB" w:rsidR="00F85928" w:rsidRDefault="00AB040A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R$ 3.175,3333</w:t>
            </w:r>
          </w:p>
        </w:tc>
        <w:tc>
          <w:tcPr>
            <w:tcW w:w="1611" w:type="dxa"/>
          </w:tcPr>
          <w:p w14:paraId="1CC0B8F9" w14:textId="557211E2" w:rsidR="00F85928" w:rsidRDefault="00294C35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9" w:type="dxa"/>
          </w:tcPr>
          <w:p w14:paraId="2884F017" w14:textId="5E140C27" w:rsidR="00F85928" w:rsidRDefault="00AB040A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R$ 2.170,00</w:t>
            </w:r>
          </w:p>
        </w:tc>
      </w:tr>
      <w:tr w:rsidR="00F85928" w14:paraId="72259F3D" w14:textId="77777777" w:rsidTr="00373593">
        <w:tc>
          <w:tcPr>
            <w:tcW w:w="838" w:type="dxa"/>
          </w:tcPr>
          <w:p w14:paraId="5ED2F31D" w14:textId="77777777" w:rsidR="00F85928" w:rsidRPr="005C6F72" w:rsidRDefault="00F85928" w:rsidP="00F85928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</w:tcPr>
          <w:p w14:paraId="5DC585D0" w14:textId="6587F289" w:rsidR="00F85928" w:rsidRDefault="000A3F8D" w:rsidP="00F859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Cabo de Rede Cat6 F/UTP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 Características mínimas:  Blindado (Rolo 500m): Condutor 100% Cobre Nu (23 AWG). Proibido Alumínio Cobreado (CCA). Capa externa preta com proteção UV. Homologação Anatel ativa.</w:t>
            </w:r>
          </w:p>
        </w:tc>
        <w:tc>
          <w:tcPr>
            <w:tcW w:w="1578" w:type="dxa"/>
          </w:tcPr>
          <w:p w14:paraId="7DAB5413" w14:textId="0AF4A873" w:rsidR="00F85928" w:rsidRDefault="00AB040A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R$ 870,00</w:t>
            </w:r>
          </w:p>
        </w:tc>
        <w:tc>
          <w:tcPr>
            <w:tcW w:w="1572" w:type="dxa"/>
          </w:tcPr>
          <w:p w14:paraId="30C5631A" w14:textId="0DEBF0BF" w:rsidR="00F85928" w:rsidRDefault="00AB040A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R$ 1.539,7767</w:t>
            </w:r>
          </w:p>
        </w:tc>
        <w:tc>
          <w:tcPr>
            <w:tcW w:w="1611" w:type="dxa"/>
          </w:tcPr>
          <w:p w14:paraId="1F779C36" w14:textId="5B9A7D84" w:rsidR="00F85928" w:rsidRDefault="00363D46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9" w:type="dxa"/>
          </w:tcPr>
          <w:p w14:paraId="4AB08D32" w14:textId="7DCC58BC" w:rsidR="00F85928" w:rsidRDefault="00AB040A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R$ 1.517,40</w:t>
            </w:r>
          </w:p>
        </w:tc>
      </w:tr>
      <w:tr w:rsidR="00F85928" w14:paraId="00A2C47E" w14:textId="77777777" w:rsidTr="00373593">
        <w:tc>
          <w:tcPr>
            <w:tcW w:w="838" w:type="dxa"/>
          </w:tcPr>
          <w:p w14:paraId="1DD174F3" w14:textId="77777777" w:rsidR="00F85928" w:rsidRPr="005C6F72" w:rsidRDefault="00F85928" w:rsidP="00F85928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</w:tcPr>
          <w:p w14:paraId="07805397" w14:textId="37510244" w:rsidR="00F85928" w:rsidRDefault="00AA08B8" w:rsidP="00F859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Conector RJ45.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Características mínimas:</w:t>
            </w: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Blindado Vazado (Pass-Thru): Compatível com Cat6/Cat6A/Cat7. Carcaça metálica para aterramento. Acompanha organizador de fios (guide) interno.</w:t>
            </w:r>
          </w:p>
        </w:tc>
        <w:tc>
          <w:tcPr>
            <w:tcW w:w="1578" w:type="dxa"/>
          </w:tcPr>
          <w:p w14:paraId="61137C01" w14:textId="34DD4EAC" w:rsidR="00F85928" w:rsidRDefault="00AB040A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R$ 3</w:t>
            </w:r>
            <w:r w:rsidR="00656962">
              <w:rPr>
                <w:rFonts w:ascii="Times New Roman" w:hAnsi="Times New Roman" w:cs="Times New Roman"/>
              </w:rPr>
              <w:t>,08</w:t>
            </w:r>
          </w:p>
        </w:tc>
        <w:tc>
          <w:tcPr>
            <w:tcW w:w="1572" w:type="dxa"/>
          </w:tcPr>
          <w:p w14:paraId="43891C63" w14:textId="3E9473BD" w:rsidR="00F85928" w:rsidRDefault="00656962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R$ 3,9550</w:t>
            </w:r>
          </w:p>
        </w:tc>
        <w:tc>
          <w:tcPr>
            <w:tcW w:w="1611" w:type="dxa"/>
          </w:tcPr>
          <w:p w14:paraId="7E12DCA0" w14:textId="50CE2936" w:rsidR="00F85928" w:rsidRDefault="00363D46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9" w:type="dxa"/>
          </w:tcPr>
          <w:p w14:paraId="34A6DE16" w14:textId="46DC194B" w:rsidR="00F85928" w:rsidRDefault="00656962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R$ 3,9550</w:t>
            </w:r>
          </w:p>
        </w:tc>
      </w:tr>
      <w:tr w:rsidR="00F85928" w14:paraId="336EC417" w14:textId="77777777" w:rsidTr="00373593">
        <w:tc>
          <w:tcPr>
            <w:tcW w:w="838" w:type="dxa"/>
          </w:tcPr>
          <w:p w14:paraId="7316B47A" w14:textId="77777777" w:rsidR="00F85928" w:rsidRPr="005C6F72" w:rsidRDefault="00F85928" w:rsidP="00F85928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</w:tcPr>
          <w:p w14:paraId="4916A195" w14:textId="41CE6662" w:rsidR="00F85928" w:rsidRDefault="0070737D" w:rsidP="00F859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Patch Panel 24p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 Características mínimas:  Descarregado Blindado: Padrão 19" 1U em aço. Acompanha 24 Keystones Cat6 180°. Guia traseira para fixação individual de cabos inclusa.</w:t>
            </w:r>
          </w:p>
        </w:tc>
        <w:tc>
          <w:tcPr>
            <w:tcW w:w="1578" w:type="dxa"/>
          </w:tcPr>
          <w:p w14:paraId="0441B550" w14:textId="2BD24F5C" w:rsidR="00F85928" w:rsidRDefault="00656962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R$ 197,00</w:t>
            </w:r>
          </w:p>
        </w:tc>
        <w:tc>
          <w:tcPr>
            <w:tcW w:w="1572" w:type="dxa"/>
          </w:tcPr>
          <w:p w14:paraId="67D56BEB" w14:textId="2747F42E" w:rsidR="00F85928" w:rsidRDefault="00656962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R$ 575,93</w:t>
            </w:r>
          </w:p>
        </w:tc>
        <w:tc>
          <w:tcPr>
            <w:tcW w:w="1611" w:type="dxa"/>
          </w:tcPr>
          <w:p w14:paraId="0199F682" w14:textId="14A97DB8" w:rsidR="00F85928" w:rsidRDefault="00E46485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9" w:type="dxa"/>
          </w:tcPr>
          <w:p w14:paraId="0A928E6E" w14:textId="4728B83E" w:rsidR="00F85928" w:rsidRDefault="00656962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R$ 653,30</w:t>
            </w:r>
          </w:p>
        </w:tc>
      </w:tr>
      <w:tr w:rsidR="00F85928" w14:paraId="0A0CFB53" w14:textId="77777777" w:rsidTr="00373593">
        <w:tc>
          <w:tcPr>
            <w:tcW w:w="838" w:type="dxa"/>
          </w:tcPr>
          <w:p w14:paraId="721B6A5E" w14:textId="77777777" w:rsidR="00F85928" w:rsidRPr="005C6F72" w:rsidRDefault="00F85928" w:rsidP="00F85928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</w:tcPr>
          <w:p w14:paraId="20CC98A7" w14:textId="5FD61551" w:rsidR="00F85928" w:rsidRDefault="00A00D7A" w:rsidP="00F859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Patch Cord Cat6 Blindado (S/FTP) 0.5m.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Características mínimas: Condutor 100% Cobre. Conectores blindados injetados de fábrica (Snagless). Cor Azul.</w:t>
            </w:r>
          </w:p>
        </w:tc>
        <w:tc>
          <w:tcPr>
            <w:tcW w:w="1578" w:type="dxa"/>
          </w:tcPr>
          <w:p w14:paraId="640905EC" w14:textId="70E66C47" w:rsidR="00F85928" w:rsidRDefault="00656962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R$ 19,4917</w:t>
            </w:r>
          </w:p>
        </w:tc>
        <w:tc>
          <w:tcPr>
            <w:tcW w:w="1572" w:type="dxa"/>
          </w:tcPr>
          <w:p w14:paraId="493524F9" w14:textId="7A097377" w:rsidR="00F85928" w:rsidRDefault="00656962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R$ 33,4972</w:t>
            </w:r>
          </w:p>
        </w:tc>
        <w:tc>
          <w:tcPr>
            <w:tcW w:w="1611" w:type="dxa"/>
          </w:tcPr>
          <w:p w14:paraId="16D83010" w14:textId="77B551AE" w:rsidR="00F85928" w:rsidRDefault="00EA282D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9" w:type="dxa"/>
          </w:tcPr>
          <w:p w14:paraId="7EB893DA" w14:textId="406D702B" w:rsidR="00F85928" w:rsidRDefault="00656962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R$ 35,00</w:t>
            </w:r>
          </w:p>
        </w:tc>
      </w:tr>
      <w:tr w:rsidR="00A00D7A" w14:paraId="030E07FE" w14:textId="77777777" w:rsidTr="00373593">
        <w:tc>
          <w:tcPr>
            <w:tcW w:w="838" w:type="dxa"/>
          </w:tcPr>
          <w:p w14:paraId="70097F3C" w14:textId="77777777" w:rsidR="00A00D7A" w:rsidRPr="005C6F72" w:rsidRDefault="00A00D7A" w:rsidP="00F85928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</w:tcPr>
          <w:p w14:paraId="37631589" w14:textId="679E6ABE" w:rsidR="00A00D7A" w:rsidRDefault="009239FF" w:rsidP="00F85928">
            <w:pPr>
              <w:jc w:val="both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Rack de Parede 19" 6U x 570mm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: Características mínimas: Estrutura em aço soldado. Profundidade de 570mm. Porta com visor de acrílico e fechadura. Pintura epóxi.</w:t>
            </w:r>
          </w:p>
        </w:tc>
        <w:tc>
          <w:tcPr>
            <w:tcW w:w="1578" w:type="dxa"/>
          </w:tcPr>
          <w:p w14:paraId="6F3E029B" w14:textId="3E62B245" w:rsidR="00A00D7A" w:rsidRDefault="00656962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R$ 339,50</w:t>
            </w:r>
          </w:p>
        </w:tc>
        <w:tc>
          <w:tcPr>
            <w:tcW w:w="1572" w:type="dxa"/>
          </w:tcPr>
          <w:p w14:paraId="38F6EC58" w14:textId="1A16E8C5" w:rsidR="00A00D7A" w:rsidRDefault="00656962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R$ 498,48</w:t>
            </w:r>
          </w:p>
        </w:tc>
        <w:tc>
          <w:tcPr>
            <w:tcW w:w="1611" w:type="dxa"/>
          </w:tcPr>
          <w:p w14:paraId="73D5C581" w14:textId="020B672B" w:rsidR="00A00D7A" w:rsidRDefault="00EA282D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9" w:type="dxa"/>
          </w:tcPr>
          <w:p w14:paraId="6B06E863" w14:textId="359C3D78" w:rsidR="00A00D7A" w:rsidRDefault="00656962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R$ 514,30</w:t>
            </w:r>
          </w:p>
        </w:tc>
      </w:tr>
      <w:tr w:rsidR="009239FF" w14:paraId="1F383793" w14:textId="77777777" w:rsidTr="00373593">
        <w:tc>
          <w:tcPr>
            <w:tcW w:w="838" w:type="dxa"/>
          </w:tcPr>
          <w:p w14:paraId="6406CA73" w14:textId="77777777" w:rsidR="009239FF" w:rsidRPr="005C6F72" w:rsidRDefault="009239FF" w:rsidP="00F85928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</w:tcPr>
          <w:p w14:paraId="73917D4F" w14:textId="51E04789" w:rsidR="009239FF" w:rsidRDefault="009F6EDB" w:rsidP="00F85928">
            <w:pPr>
              <w:jc w:val="both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Rack de Parede 19" 12U x 570mm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: Características mínimas: Estrutura em aço soldado. Profundidade de 570mm. Porta com visor de acrílico e fechadura. Pintura epóxi.Com altura útil de 12U para blocos de medicina (E e F).</w:t>
            </w:r>
          </w:p>
        </w:tc>
        <w:tc>
          <w:tcPr>
            <w:tcW w:w="1578" w:type="dxa"/>
          </w:tcPr>
          <w:p w14:paraId="2F81303E" w14:textId="6C1F6CB0" w:rsidR="009239FF" w:rsidRDefault="00656962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</w:t>
            </w:r>
            <w:r w:rsidR="002810F0">
              <w:rPr>
                <w:rFonts w:ascii="Times New Roman" w:hAnsi="Times New Roman" w:cs="Times New Roman"/>
              </w:rPr>
              <w:t xml:space="preserve"> 482,60</w:t>
            </w:r>
          </w:p>
        </w:tc>
        <w:tc>
          <w:tcPr>
            <w:tcW w:w="1572" w:type="dxa"/>
          </w:tcPr>
          <w:p w14:paraId="0A248DC6" w14:textId="6735B741" w:rsidR="009239FF" w:rsidRDefault="002810F0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R$ 901,0217</w:t>
            </w:r>
          </w:p>
        </w:tc>
        <w:tc>
          <w:tcPr>
            <w:tcW w:w="1611" w:type="dxa"/>
          </w:tcPr>
          <w:p w14:paraId="375F90D7" w14:textId="4E891679" w:rsidR="009239FF" w:rsidRDefault="00371741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99" w:type="dxa"/>
          </w:tcPr>
          <w:p w14:paraId="68444C83" w14:textId="07199C75" w:rsidR="009239FF" w:rsidRDefault="002810F0" w:rsidP="00371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R$ 862,91</w:t>
            </w:r>
          </w:p>
        </w:tc>
      </w:tr>
    </w:tbl>
    <w:p w14:paraId="52F9B0C7" w14:textId="77777777" w:rsidR="00E32C4E" w:rsidRDefault="00E32C4E" w:rsidP="003063B3">
      <w:pPr>
        <w:jc w:val="both"/>
        <w:rPr>
          <w:rFonts w:ascii="Times New Roman" w:hAnsi="Times New Roman" w:cs="Times New Roman"/>
        </w:rPr>
      </w:pPr>
    </w:p>
    <w:p w14:paraId="2557E834" w14:textId="77777777" w:rsidR="0098798F" w:rsidRDefault="0098798F" w:rsidP="003063B3">
      <w:pPr>
        <w:jc w:val="both"/>
        <w:rPr>
          <w:rFonts w:ascii="Times New Roman" w:hAnsi="Times New Roman" w:cs="Times New Roman"/>
        </w:rPr>
      </w:pPr>
    </w:p>
    <w:p w14:paraId="1E5C9017" w14:textId="77777777" w:rsidR="00A9366E" w:rsidRPr="003D533D" w:rsidRDefault="00A9366E">
      <w:pPr>
        <w:rPr>
          <w:rFonts w:ascii="Times New Roman" w:hAnsi="Times New Roman" w:cs="Times New Roman"/>
          <w:sz w:val="20"/>
          <w:szCs w:val="20"/>
        </w:rPr>
      </w:pPr>
    </w:p>
    <w:p w14:paraId="4C1E0572" w14:textId="77777777" w:rsidR="00FA16CC" w:rsidRDefault="00A9366E" w:rsidP="00A9366E">
      <w:pPr>
        <w:ind w:right="-171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61B4B">
        <w:rPr>
          <w:rFonts w:ascii="Times New Roman" w:hAnsi="Times New Roman" w:cs="Times New Roman"/>
          <w:b/>
          <w:bCs/>
          <w:sz w:val="20"/>
          <w:szCs w:val="20"/>
        </w:rPr>
        <w:t xml:space="preserve">2. METODOLOGIA UTILIZADA </w:t>
      </w:r>
    </w:p>
    <w:p w14:paraId="73BBB015" w14:textId="36C3B23E" w:rsidR="00A9366E" w:rsidRPr="00FA16CC" w:rsidRDefault="00A9366E" w:rsidP="00F2416F">
      <w:pPr>
        <w:ind w:left="708" w:right="-171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61B4B">
        <w:rPr>
          <w:rFonts w:ascii="Times New Roman" w:hAnsi="Times New Roman" w:cs="Times New Roman"/>
          <w:sz w:val="20"/>
          <w:szCs w:val="20"/>
        </w:rPr>
        <w:t xml:space="preserve">2.1. Pesquisa realizada seguindo parâmetros da Instrução </w:t>
      </w:r>
      <w:r w:rsidR="00483C97" w:rsidRPr="00561B4B">
        <w:rPr>
          <w:rFonts w:ascii="Times New Roman" w:hAnsi="Times New Roman" w:cs="Times New Roman"/>
          <w:sz w:val="20"/>
          <w:szCs w:val="20"/>
        </w:rPr>
        <w:t>Normativa nº 65, de 7 de julho de 2021 (lei 14.133)</w:t>
      </w:r>
      <w:r w:rsidRPr="00561B4B">
        <w:rPr>
          <w:rFonts w:ascii="Times New Roman" w:hAnsi="Times New Roman" w:cs="Times New Roman"/>
          <w:sz w:val="20"/>
          <w:szCs w:val="20"/>
        </w:rPr>
        <w:t xml:space="preserve">, conforme extrato abaixo:  </w:t>
      </w:r>
    </w:p>
    <w:p w14:paraId="2662B728" w14:textId="77777777" w:rsidR="00AD3074" w:rsidRDefault="00AD3074" w:rsidP="00F2416F">
      <w:pPr>
        <w:ind w:left="708" w:right="-171"/>
        <w:jc w:val="both"/>
        <w:rPr>
          <w:rFonts w:ascii="Times New Roman" w:hAnsi="Times New Roman" w:cs="Times New Roman"/>
          <w:sz w:val="18"/>
          <w:szCs w:val="18"/>
        </w:rPr>
      </w:pPr>
      <w:r w:rsidRPr="00AD3074">
        <w:rPr>
          <w:rFonts w:ascii="Times New Roman" w:hAnsi="Times New Roman" w:cs="Times New Roman"/>
          <w:sz w:val="18"/>
          <w:szCs w:val="18"/>
        </w:rPr>
        <w:t>Art. 5º A pesquisa de preços para fins de determinação do preço estimado em processo licitatório para a aquisição de bens e contratação de serviços em geral será realizada mediante a utilização dos seguintes parâmetros, empregados de forma combinada ou não:</w:t>
      </w:r>
    </w:p>
    <w:p w14:paraId="2B7ADEB5" w14:textId="6F2CAD7C" w:rsidR="005E3DBD" w:rsidRDefault="00AD3074" w:rsidP="004E69D8">
      <w:pPr>
        <w:ind w:left="709" w:right="-171"/>
        <w:jc w:val="both"/>
        <w:rPr>
          <w:rFonts w:ascii="Times New Roman" w:hAnsi="Times New Roman" w:cs="Times New Roman"/>
          <w:sz w:val="18"/>
          <w:szCs w:val="18"/>
        </w:rPr>
      </w:pPr>
      <w:r w:rsidRPr="00AD3074">
        <w:rPr>
          <w:rFonts w:ascii="Times New Roman" w:hAnsi="Times New Roman" w:cs="Times New Roman"/>
          <w:sz w:val="18"/>
          <w:szCs w:val="18"/>
        </w:rPr>
        <w:t>I - composição de custos unitários menores ou iguais à mediana do item correspondente nos sistemas oficiais de governo, como Painel de Preços ou banco de preços em saúde, observado o índice de atualização de preços correspondente;</w:t>
      </w:r>
      <w:r w:rsidRPr="00AD3074">
        <w:rPr>
          <w:rFonts w:ascii="Times New Roman" w:hAnsi="Times New Roman" w:cs="Times New Roman"/>
          <w:sz w:val="18"/>
          <w:szCs w:val="18"/>
        </w:rPr>
        <w:br/>
        <w:t>II - contratações similares feitas pela Administração Pública, em execução ou concluídas no período de 1 (um) ano anterior à data da pesquisa de preços, inclusive mediante sistema de registro de preços, observado o índice de atualização de preços correspondente;</w:t>
      </w:r>
      <w:r w:rsidRPr="00AD3074">
        <w:rPr>
          <w:rFonts w:ascii="Times New Roman" w:hAnsi="Times New Roman" w:cs="Times New Roman"/>
          <w:sz w:val="18"/>
          <w:szCs w:val="18"/>
        </w:rPr>
        <w:br/>
        <w:t>III - dados de pesquisa publicada em mídia especializada, de tabela de referência formalmente aprovada pelo Poder Executivo federal e de sítios eletrônicos especializados ou de domínio amplo, desde que atualizados no momento da pesquisa e compreendidos no intervalo de até 6 (seis) meses de antecedência da data de divulgação do edital, contendo a data e a hora de acesso;</w:t>
      </w:r>
      <w:r w:rsidRPr="00AD3074">
        <w:rPr>
          <w:rFonts w:ascii="Times New Roman" w:hAnsi="Times New Roman" w:cs="Times New Roman"/>
          <w:sz w:val="18"/>
          <w:szCs w:val="18"/>
        </w:rPr>
        <w:br/>
        <w:t>IV - pesquisa direta com, no mínimo, 3 (três) fornecedores, mediante solicitação formal de cotação, por meio de ofício ou e-mail, desde que seja apresentada justificativa da escolha desses fornecedores e que não tenham sido obtidos os orçamentos com mais de 6 (seis) meses de antecedência da data de divulgação do edital; ou</w:t>
      </w:r>
    </w:p>
    <w:p w14:paraId="36CE01D5" w14:textId="09C97311" w:rsidR="00042BF2" w:rsidRDefault="00AD3074" w:rsidP="00C50EF0">
      <w:pPr>
        <w:ind w:left="709" w:right="-171"/>
        <w:rPr>
          <w:rFonts w:ascii="Times New Roman" w:hAnsi="Times New Roman" w:cs="Times New Roman"/>
          <w:sz w:val="18"/>
          <w:szCs w:val="18"/>
        </w:rPr>
      </w:pPr>
      <w:r w:rsidRPr="00AD3074">
        <w:rPr>
          <w:rFonts w:ascii="Times New Roman" w:hAnsi="Times New Roman" w:cs="Times New Roman"/>
          <w:sz w:val="18"/>
          <w:szCs w:val="18"/>
        </w:rPr>
        <w:t xml:space="preserve">V - pesquisa na base nacional de notas fiscais eletrônicas, desde que a data das notas fiscais esteja compreendida no período de até 1 (um) ano anterior à data de divulgação do edital, conforme disposto no Caderno de Logística, elaborado pela Secretaria de </w:t>
      </w:r>
      <w:r w:rsidRPr="00AD3074">
        <w:rPr>
          <w:rFonts w:ascii="Times New Roman" w:hAnsi="Times New Roman" w:cs="Times New Roman"/>
          <w:sz w:val="18"/>
          <w:szCs w:val="18"/>
        </w:rPr>
        <w:lastRenderedPageBreak/>
        <w:t>Gestão da Secretaria Especial de Desburocratização, Gestão e Governo Digital do Ministério da Economia.</w:t>
      </w:r>
      <w:r w:rsidRPr="00AD3074">
        <w:rPr>
          <w:rFonts w:ascii="Times New Roman" w:hAnsi="Times New Roman" w:cs="Times New Roman"/>
          <w:sz w:val="18"/>
          <w:szCs w:val="18"/>
        </w:rPr>
        <w:br/>
        <w:t>§ 1º Deverão ser priorizados os parâmetros estabelecidos nos incisos I e II, devendo, em caso de impossibilidade, apresentar justificativa nos autos.</w:t>
      </w:r>
      <w:r w:rsidRPr="00AD3074">
        <w:rPr>
          <w:rFonts w:ascii="Times New Roman" w:hAnsi="Times New Roman" w:cs="Times New Roman"/>
          <w:sz w:val="18"/>
          <w:szCs w:val="18"/>
        </w:rPr>
        <w:br/>
        <w:t>§ 2º Quando a pesquisa de preços for realizada com fornecedores, nos termos do inciso IV, deverá ser observado:</w:t>
      </w:r>
      <w:r w:rsidRPr="00AD3074">
        <w:rPr>
          <w:rFonts w:ascii="Times New Roman" w:hAnsi="Times New Roman" w:cs="Times New Roman"/>
          <w:sz w:val="18"/>
          <w:szCs w:val="18"/>
        </w:rPr>
        <w:br/>
        <w:t>I - prazo de resposta conferido ao fornecedor compatível com a complexidade do objeto a ser licitado;</w:t>
      </w:r>
      <w:r w:rsidRPr="00AD3074">
        <w:rPr>
          <w:rFonts w:ascii="Times New Roman" w:hAnsi="Times New Roman" w:cs="Times New Roman"/>
          <w:sz w:val="18"/>
          <w:szCs w:val="18"/>
        </w:rPr>
        <w:br/>
        <w:t>II - obtenção de propostas formais, contendo, no mínimo:</w:t>
      </w:r>
    </w:p>
    <w:p w14:paraId="782E352A" w14:textId="7014B717" w:rsidR="0098798F" w:rsidRDefault="00AD3074" w:rsidP="004E69D8">
      <w:pPr>
        <w:ind w:left="709" w:right="-171"/>
        <w:rPr>
          <w:rFonts w:ascii="Times New Roman" w:hAnsi="Times New Roman" w:cs="Times New Roman"/>
          <w:sz w:val="18"/>
          <w:szCs w:val="18"/>
        </w:rPr>
      </w:pPr>
      <w:r w:rsidRPr="00AD3074">
        <w:rPr>
          <w:rFonts w:ascii="Times New Roman" w:hAnsi="Times New Roman" w:cs="Times New Roman"/>
          <w:sz w:val="18"/>
          <w:szCs w:val="18"/>
        </w:rPr>
        <w:t>a) descrição do objeto, valor unitário e total;</w:t>
      </w:r>
      <w:r w:rsidRPr="00AD3074">
        <w:rPr>
          <w:rFonts w:ascii="Times New Roman" w:hAnsi="Times New Roman" w:cs="Times New Roman"/>
          <w:sz w:val="18"/>
          <w:szCs w:val="18"/>
        </w:rPr>
        <w:br/>
        <w:t>b) número do Cadastro de Pessoa Física - CPF ou do Cadastro Nacional de Pessoa Jurídica - CNPJ do proponente;</w:t>
      </w:r>
      <w:r w:rsidRPr="00AD3074">
        <w:rPr>
          <w:rFonts w:ascii="Times New Roman" w:hAnsi="Times New Roman" w:cs="Times New Roman"/>
          <w:sz w:val="18"/>
          <w:szCs w:val="18"/>
        </w:rPr>
        <w:br/>
        <w:t>c) endereços físico e eletrônico e telefone de contato;</w:t>
      </w:r>
      <w:r w:rsidRPr="00AD3074">
        <w:rPr>
          <w:rFonts w:ascii="Times New Roman" w:hAnsi="Times New Roman" w:cs="Times New Roman"/>
          <w:sz w:val="18"/>
          <w:szCs w:val="18"/>
        </w:rPr>
        <w:br/>
        <w:t>d) data de emissão; e</w:t>
      </w:r>
      <w:r w:rsidRPr="00AD3074">
        <w:rPr>
          <w:rFonts w:ascii="Times New Roman" w:hAnsi="Times New Roman" w:cs="Times New Roman"/>
          <w:sz w:val="18"/>
          <w:szCs w:val="18"/>
        </w:rPr>
        <w:br/>
        <w:t>e) nome completo e identificação do responsável.</w:t>
      </w:r>
      <w:r w:rsidRPr="00AD3074">
        <w:rPr>
          <w:rFonts w:ascii="Times New Roman" w:hAnsi="Times New Roman" w:cs="Times New Roman"/>
          <w:sz w:val="18"/>
          <w:szCs w:val="18"/>
        </w:rPr>
        <w:br/>
        <w:t>III - informação aos fornecedores das características da contratação contidas no art. 4º, com vistas à melhor caracterização das condições comerciais praticadas para o objeto a ser contratado; e</w:t>
      </w:r>
      <w:r w:rsidRPr="00AD3074">
        <w:rPr>
          <w:rFonts w:ascii="Times New Roman" w:hAnsi="Times New Roman" w:cs="Times New Roman"/>
          <w:sz w:val="18"/>
          <w:szCs w:val="18"/>
        </w:rPr>
        <w:br/>
        <w:t>IV - registro, nos autos do processo da contratação correspondente, da relação de fornecedores que foram consultados e não enviaram propostas como resposta à solicitação de que trata o inciso IV do caput.</w:t>
      </w:r>
      <w:r w:rsidRPr="00AD3074">
        <w:rPr>
          <w:rFonts w:ascii="Times New Roman" w:hAnsi="Times New Roman" w:cs="Times New Roman"/>
          <w:sz w:val="18"/>
          <w:szCs w:val="18"/>
        </w:rPr>
        <w:br/>
        <w:t>§ 3º Excepcionalmente, será admitido o preço estimado com base em orçamento fora do prazo estipulado no inciso II do caput, desde que devidamente justificado nos autos pelo agente responsável e observado o índice de atualização de preços correspondente.</w:t>
      </w:r>
      <w:r w:rsidRPr="00AD3074">
        <w:rPr>
          <w:rFonts w:ascii="Times New Roman" w:hAnsi="Times New Roman" w:cs="Times New Roman"/>
          <w:sz w:val="18"/>
          <w:szCs w:val="18"/>
        </w:rPr>
        <w:br/>
        <w:t>Metodologia para obtenção do preço estimado</w:t>
      </w:r>
      <w:r w:rsidRPr="00AD3074">
        <w:rPr>
          <w:rFonts w:ascii="Times New Roman" w:hAnsi="Times New Roman" w:cs="Times New Roman"/>
          <w:sz w:val="18"/>
          <w:szCs w:val="18"/>
        </w:rPr>
        <w:br/>
        <w:t>Art. 6º Serão utilizados, como métodos para obtenção do preço estimado, a média, a mediana ou o menor dos valores obtidos na pesquisa de preços, desde que o cálculo incida sobre um conjunto de três ou mais preços, oriundos de um ou mais dos parâmetros de que trata o art. 5º, desconsiderados os valores inexequíveis, inconsistentes e os excessivamente elevados.</w:t>
      </w:r>
      <w:r w:rsidRPr="00AD3074">
        <w:rPr>
          <w:rFonts w:ascii="Times New Roman" w:hAnsi="Times New Roman" w:cs="Times New Roman"/>
          <w:sz w:val="18"/>
          <w:szCs w:val="18"/>
        </w:rPr>
        <w:br/>
        <w:t>§ 1º Poderão ser utilizados outros critérios ou métodos, desde que devidamente justificados nos autos pelo gestor responsável e aprovados pela autoridade competente.</w:t>
      </w:r>
      <w:r w:rsidRPr="00AD3074">
        <w:rPr>
          <w:rFonts w:ascii="Times New Roman" w:hAnsi="Times New Roman" w:cs="Times New Roman"/>
          <w:sz w:val="18"/>
          <w:szCs w:val="18"/>
        </w:rPr>
        <w:br/>
        <w:t xml:space="preserve">§ 2º </w:t>
      </w:r>
      <w:r w:rsidRPr="00884901">
        <w:rPr>
          <w:rFonts w:ascii="Times New Roman" w:hAnsi="Times New Roman" w:cs="Times New Roman"/>
          <w:sz w:val="18"/>
          <w:szCs w:val="18"/>
        </w:rPr>
        <w:t>Com base no tratamento de que trata o caput, o preço estimado da contratação poderá ser obtido, ainda, acrescentando ou subtraindo determinado percentual, de forma a aliar a atratividade do mercado e mitigar o risco de sobrepreço.</w:t>
      </w:r>
      <w:r w:rsidRPr="00AD3074">
        <w:rPr>
          <w:rFonts w:ascii="Times New Roman" w:hAnsi="Times New Roman" w:cs="Times New Roman"/>
          <w:sz w:val="18"/>
          <w:szCs w:val="18"/>
        </w:rPr>
        <w:br/>
        <w:t>§ 3º Para desconsideração dos valores inexequíveis, inconsistentes ou excessivamente elevados, deverão ser adotados critérios fundamentados e descritos no processo administrativo.</w:t>
      </w:r>
      <w:r w:rsidRPr="00AD3074">
        <w:rPr>
          <w:rFonts w:ascii="Times New Roman" w:hAnsi="Times New Roman" w:cs="Times New Roman"/>
          <w:sz w:val="18"/>
          <w:szCs w:val="18"/>
        </w:rPr>
        <w:br/>
        <w:t>§ 4º Os preços coletados devem ser analisados de forma crítica, em especial, quando houver grande variação entre os valores apresentados.</w:t>
      </w:r>
      <w:r w:rsidRPr="00AD3074">
        <w:rPr>
          <w:rFonts w:ascii="Times New Roman" w:hAnsi="Times New Roman" w:cs="Times New Roman"/>
          <w:sz w:val="18"/>
          <w:szCs w:val="18"/>
        </w:rPr>
        <w:br/>
        <w:t>§ 5º Excepcionalmente, será admitida a determinação de preço estimado com base em menos de três preços, desde que devidamente justificada nos autos pelo gestor responsável e aprovada pela autoridade competente.</w:t>
      </w:r>
      <w:r w:rsidRPr="00AD3074">
        <w:rPr>
          <w:rFonts w:ascii="Times New Roman" w:hAnsi="Times New Roman" w:cs="Times New Roman"/>
          <w:sz w:val="18"/>
          <w:szCs w:val="18"/>
        </w:rPr>
        <w:br/>
        <w:t>§ 6º Quando o preço estimado for obtido com base única no inciso I do art. 5º, o valor não poderá ser superior à mediana do item nos sistemas consultados.</w:t>
      </w:r>
    </w:p>
    <w:p w14:paraId="52609FFA" w14:textId="77777777" w:rsidR="0098798F" w:rsidRDefault="0098798F" w:rsidP="00C50EF0">
      <w:pPr>
        <w:ind w:left="709" w:right="-171"/>
        <w:rPr>
          <w:rFonts w:ascii="Times New Roman" w:hAnsi="Times New Roman" w:cs="Times New Roman"/>
          <w:sz w:val="18"/>
          <w:szCs w:val="18"/>
        </w:rPr>
      </w:pPr>
    </w:p>
    <w:p w14:paraId="6087D836" w14:textId="77777777" w:rsidR="005E3DBD" w:rsidRPr="00AD3074" w:rsidRDefault="005E3DBD" w:rsidP="00C50EF0">
      <w:pPr>
        <w:ind w:left="709" w:right="-171"/>
        <w:rPr>
          <w:rFonts w:ascii="Times New Roman" w:hAnsi="Times New Roman" w:cs="Times New Roman"/>
          <w:sz w:val="18"/>
          <w:szCs w:val="18"/>
        </w:rPr>
      </w:pPr>
    </w:p>
    <w:p w14:paraId="501D3AB3" w14:textId="77777777" w:rsidR="00A9366E" w:rsidRPr="00561B4B" w:rsidRDefault="00A9366E" w:rsidP="004E69D8">
      <w:pPr>
        <w:ind w:left="708" w:right="-171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61B4B">
        <w:rPr>
          <w:rFonts w:ascii="Times New Roman" w:hAnsi="Times New Roman" w:cs="Times New Roman"/>
          <w:b/>
          <w:bCs/>
          <w:sz w:val="20"/>
          <w:szCs w:val="20"/>
        </w:rPr>
        <w:t xml:space="preserve">3. ANEXOS: </w:t>
      </w:r>
    </w:p>
    <w:p w14:paraId="55D2FC97" w14:textId="68152883" w:rsidR="00042BF2" w:rsidRPr="00561B4B" w:rsidRDefault="00A9366E" w:rsidP="00C304A0">
      <w:pPr>
        <w:ind w:left="708" w:right="-171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61B4B">
        <w:rPr>
          <w:rFonts w:ascii="Times New Roman" w:hAnsi="Times New Roman" w:cs="Times New Roman"/>
          <w:sz w:val="20"/>
          <w:szCs w:val="20"/>
        </w:rPr>
        <w:t>3.1.</w:t>
      </w:r>
      <w:r w:rsidR="00D52373">
        <w:rPr>
          <w:rFonts w:ascii="Times New Roman" w:hAnsi="Times New Roman" w:cs="Times New Roman"/>
          <w:sz w:val="20"/>
          <w:szCs w:val="20"/>
        </w:rPr>
        <w:tab/>
      </w:r>
      <w:r w:rsidR="00C304A0">
        <w:rPr>
          <w:rFonts w:ascii="Times New Roman" w:hAnsi="Times New Roman" w:cs="Times New Roman"/>
          <w:sz w:val="20"/>
          <w:szCs w:val="20"/>
        </w:rPr>
        <w:t xml:space="preserve">Relatório resumido </w:t>
      </w:r>
      <w:r w:rsidR="00EA0C76">
        <w:rPr>
          <w:rFonts w:ascii="Times New Roman" w:hAnsi="Times New Roman" w:cs="Times New Roman"/>
          <w:sz w:val="20"/>
          <w:szCs w:val="20"/>
        </w:rPr>
        <w:t xml:space="preserve">da Pesquisa </w:t>
      </w:r>
      <w:r w:rsidR="00C304A0">
        <w:rPr>
          <w:rFonts w:ascii="Times New Roman" w:hAnsi="Times New Roman" w:cs="Times New Roman"/>
          <w:sz w:val="20"/>
          <w:szCs w:val="20"/>
        </w:rPr>
        <w:t>extraído do Compras</w:t>
      </w:r>
      <w:r w:rsidR="00EA0C76">
        <w:rPr>
          <w:rFonts w:ascii="Times New Roman" w:hAnsi="Times New Roman" w:cs="Times New Roman"/>
          <w:sz w:val="20"/>
          <w:szCs w:val="20"/>
        </w:rPr>
        <w:t xml:space="preserve"> </w:t>
      </w:r>
      <w:r w:rsidR="00C304A0">
        <w:rPr>
          <w:rFonts w:ascii="Times New Roman" w:hAnsi="Times New Roman" w:cs="Times New Roman"/>
          <w:sz w:val="20"/>
          <w:szCs w:val="20"/>
        </w:rPr>
        <w:t>Gov.</w:t>
      </w:r>
    </w:p>
    <w:p w14:paraId="1F709EF7" w14:textId="77777777" w:rsidR="00A9366E" w:rsidRPr="00561B4B" w:rsidRDefault="00A9366E" w:rsidP="004E69D8">
      <w:pPr>
        <w:ind w:left="708" w:right="-171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61B4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p w14:paraId="3E8F345C" w14:textId="77777777" w:rsidR="00A9366E" w:rsidRPr="00561B4B" w:rsidRDefault="00A9366E" w:rsidP="00A9366E">
      <w:pPr>
        <w:ind w:right="-171"/>
        <w:jc w:val="both"/>
        <w:rPr>
          <w:rFonts w:ascii="Times New Roman" w:hAnsi="Times New Roman" w:cs="Times New Roman"/>
          <w:sz w:val="20"/>
          <w:szCs w:val="20"/>
        </w:rPr>
      </w:pPr>
      <w:r w:rsidRPr="00561B4B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6D883F8" w14:textId="579C5873" w:rsidR="00A9366E" w:rsidRPr="00561B4B" w:rsidRDefault="00A9366E" w:rsidP="003E28C3">
      <w:pPr>
        <w:ind w:right="-171"/>
        <w:jc w:val="right"/>
        <w:rPr>
          <w:rFonts w:ascii="Times New Roman" w:hAnsi="Times New Roman" w:cs="Times New Roman"/>
          <w:sz w:val="20"/>
          <w:szCs w:val="20"/>
        </w:rPr>
      </w:pPr>
      <w:r w:rsidRPr="00561B4B">
        <w:rPr>
          <w:rFonts w:ascii="Times New Roman" w:hAnsi="Times New Roman" w:cs="Times New Roman"/>
          <w:sz w:val="20"/>
          <w:szCs w:val="20"/>
        </w:rPr>
        <w:t xml:space="preserve">Belo Jardim - PE, </w:t>
      </w:r>
      <w:r w:rsidR="00C5536E">
        <w:rPr>
          <w:rFonts w:ascii="Times New Roman" w:hAnsi="Times New Roman" w:cs="Times New Roman"/>
          <w:sz w:val="20"/>
          <w:szCs w:val="20"/>
        </w:rPr>
        <w:t>2</w:t>
      </w:r>
      <w:r w:rsidR="00484A48">
        <w:rPr>
          <w:rFonts w:ascii="Times New Roman" w:hAnsi="Times New Roman" w:cs="Times New Roman"/>
          <w:sz w:val="20"/>
          <w:szCs w:val="20"/>
        </w:rPr>
        <w:t>7</w:t>
      </w:r>
      <w:r w:rsidRPr="00561B4B">
        <w:rPr>
          <w:rFonts w:ascii="Times New Roman" w:hAnsi="Times New Roman" w:cs="Times New Roman"/>
          <w:sz w:val="20"/>
          <w:szCs w:val="20"/>
        </w:rPr>
        <w:t xml:space="preserve"> de </w:t>
      </w:r>
      <w:r w:rsidR="000842B2">
        <w:rPr>
          <w:rFonts w:ascii="Times New Roman" w:hAnsi="Times New Roman" w:cs="Times New Roman"/>
          <w:sz w:val="20"/>
          <w:szCs w:val="20"/>
        </w:rPr>
        <w:t>a</w:t>
      </w:r>
      <w:r w:rsidR="004E69D8">
        <w:rPr>
          <w:rFonts w:ascii="Times New Roman" w:hAnsi="Times New Roman" w:cs="Times New Roman"/>
          <w:sz w:val="20"/>
          <w:szCs w:val="20"/>
        </w:rPr>
        <w:t xml:space="preserve">bril </w:t>
      </w:r>
      <w:r w:rsidRPr="00561B4B">
        <w:rPr>
          <w:rFonts w:ascii="Times New Roman" w:hAnsi="Times New Roman" w:cs="Times New Roman"/>
          <w:sz w:val="20"/>
          <w:szCs w:val="20"/>
        </w:rPr>
        <w:t>de 202</w:t>
      </w:r>
      <w:r w:rsidR="00120337">
        <w:rPr>
          <w:rFonts w:ascii="Times New Roman" w:hAnsi="Times New Roman" w:cs="Times New Roman"/>
          <w:sz w:val="20"/>
          <w:szCs w:val="20"/>
        </w:rPr>
        <w:t>6</w:t>
      </w:r>
      <w:r w:rsidRPr="00561B4B">
        <w:rPr>
          <w:rFonts w:ascii="Times New Roman" w:hAnsi="Times New Roman" w:cs="Times New Roman"/>
          <w:sz w:val="20"/>
          <w:szCs w:val="20"/>
        </w:rPr>
        <w:t>.</w:t>
      </w:r>
    </w:p>
    <w:p w14:paraId="0B4B6CB5" w14:textId="77777777" w:rsidR="00A9366E" w:rsidRPr="00561B4B" w:rsidRDefault="00A9366E">
      <w:pPr>
        <w:rPr>
          <w:rFonts w:ascii="Times New Roman" w:hAnsi="Times New Roman" w:cs="Times New Roman"/>
        </w:rPr>
      </w:pPr>
    </w:p>
    <w:p w14:paraId="13C1AD2A" w14:textId="77777777" w:rsidR="00A9366E" w:rsidRPr="00561B4B" w:rsidRDefault="00A9366E">
      <w:pPr>
        <w:rPr>
          <w:rFonts w:ascii="Times New Roman" w:hAnsi="Times New Roman" w:cs="Times New Roman"/>
        </w:rPr>
      </w:pPr>
    </w:p>
    <w:p w14:paraId="081CE227" w14:textId="77777777" w:rsidR="00A9366E" w:rsidRPr="00561B4B" w:rsidRDefault="00A9366E">
      <w:pPr>
        <w:rPr>
          <w:rFonts w:ascii="Times New Roman" w:hAnsi="Times New Roman" w:cs="Times New Roman"/>
        </w:rPr>
      </w:pPr>
    </w:p>
    <w:p w14:paraId="10E45CA4" w14:textId="24646146" w:rsidR="00A9366E" w:rsidRPr="00561B4B" w:rsidRDefault="004E69D8" w:rsidP="00A9366E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auto"/>
        </w:rPr>
        <w:t>TAMIRIS EVELYNE FERNANDES</w:t>
      </w:r>
      <w:r w:rsidR="00440B9F">
        <w:rPr>
          <w:rFonts w:ascii="Times New Roman" w:eastAsia="Times New Roman" w:hAnsi="Times New Roman" w:cs="Times New Roman"/>
          <w:b/>
          <w:color w:val="auto"/>
        </w:rPr>
        <w:br/>
      </w:r>
      <w:r w:rsidR="006921B6">
        <w:rPr>
          <w:rFonts w:ascii="Times New Roman" w:eastAsia="Times New Roman" w:hAnsi="Times New Roman" w:cs="Times New Roman"/>
          <w:bCs/>
          <w:color w:val="auto"/>
        </w:rPr>
        <w:t xml:space="preserve">Resp. pela Pesquisa de Preços </w:t>
      </w:r>
    </w:p>
    <w:sectPr w:rsidR="00A9366E" w:rsidRPr="00561B4B" w:rsidSect="008E4B73">
      <w:headerReference w:type="default" r:id="rId8"/>
      <w:pgSz w:w="11906" w:h="16838"/>
      <w:pgMar w:top="0" w:right="1133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F5DA4" w14:textId="77777777" w:rsidR="000B397D" w:rsidRDefault="000B397D" w:rsidP="00A9366E">
      <w:pPr>
        <w:spacing w:line="240" w:lineRule="auto"/>
      </w:pPr>
      <w:r>
        <w:separator/>
      </w:r>
    </w:p>
  </w:endnote>
  <w:endnote w:type="continuationSeparator" w:id="0">
    <w:p w14:paraId="76BF6F1E" w14:textId="77777777" w:rsidR="000B397D" w:rsidRDefault="000B397D" w:rsidP="00A936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roid Sans Fallback">
    <w:altName w:val="Segoe UI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3140C" w14:textId="77777777" w:rsidR="000B397D" w:rsidRDefault="000B397D" w:rsidP="00A9366E">
      <w:pPr>
        <w:spacing w:line="240" w:lineRule="auto"/>
      </w:pPr>
      <w:r>
        <w:separator/>
      </w:r>
    </w:p>
  </w:footnote>
  <w:footnote w:type="continuationSeparator" w:id="0">
    <w:p w14:paraId="2734D253" w14:textId="77777777" w:rsidR="000B397D" w:rsidRDefault="000B397D" w:rsidP="00A936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B35C4" w14:textId="25937986" w:rsidR="008E4B73" w:rsidRDefault="00000000">
    <w:pPr>
      <w:pStyle w:val="Cabealho"/>
    </w:pPr>
    <w:r>
      <w:rPr>
        <w:noProof/>
      </w:rPr>
      <w:pict w14:anchorId="26EB22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286330" o:spid="_x0000_s1027" type="#_x0000_t75" style="position:absolute;margin-left:-47.25pt;margin-top:-48.25pt;width:595.35pt;height:842.1pt;z-index:-251658752;mso-position-horizontal-relative:margin;mso-position-vertical-relative:margin" o:allowincell="f">
          <v:imagedata r:id="rId1" o:title="FBJ - PAPEL TIMBRAD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3523C"/>
    <w:multiLevelType w:val="hybridMultilevel"/>
    <w:tmpl w:val="3858153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059D5"/>
    <w:multiLevelType w:val="hybridMultilevel"/>
    <w:tmpl w:val="9C48103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893148">
    <w:abstractNumId w:val="1"/>
  </w:num>
  <w:num w:numId="2" w16cid:durableId="1822888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66E"/>
    <w:rsid w:val="00003FCB"/>
    <w:rsid w:val="00020AF6"/>
    <w:rsid w:val="00031B9E"/>
    <w:rsid w:val="0003500A"/>
    <w:rsid w:val="00042BF2"/>
    <w:rsid w:val="00053633"/>
    <w:rsid w:val="00060B4F"/>
    <w:rsid w:val="00062634"/>
    <w:rsid w:val="00073521"/>
    <w:rsid w:val="000842B2"/>
    <w:rsid w:val="00097587"/>
    <w:rsid w:val="000A0AC5"/>
    <w:rsid w:val="000A3F8D"/>
    <w:rsid w:val="000B397D"/>
    <w:rsid w:val="000B659D"/>
    <w:rsid w:val="000D76F9"/>
    <w:rsid w:val="0010208A"/>
    <w:rsid w:val="001045D7"/>
    <w:rsid w:val="00104750"/>
    <w:rsid w:val="001139F8"/>
    <w:rsid w:val="00120337"/>
    <w:rsid w:val="001220CB"/>
    <w:rsid w:val="00136A39"/>
    <w:rsid w:val="00141901"/>
    <w:rsid w:val="00151989"/>
    <w:rsid w:val="00152C86"/>
    <w:rsid w:val="001626F3"/>
    <w:rsid w:val="001815DB"/>
    <w:rsid w:val="00183B18"/>
    <w:rsid w:val="00190E56"/>
    <w:rsid w:val="00192484"/>
    <w:rsid w:val="0019594E"/>
    <w:rsid w:val="00197720"/>
    <w:rsid w:val="001B2E4D"/>
    <w:rsid w:val="001B5584"/>
    <w:rsid w:val="001B65C6"/>
    <w:rsid w:val="001C0E67"/>
    <w:rsid w:val="001C282B"/>
    <w:rsid w:val="001C7C1E"/>
    <w:rsid w:val="001F7405"/>
    <w:rsid w:val="00202FE5"/>
    <w:rsid w:val="00203D67"/>
    <w:rsid w:val="00205682"/>
    <w:rsid w:val="00227552"/>
    <w:rsid w:val="00231708"/>
    <w:rsid w:val="00235045"/>
    <w:rsid w:val="00235E72"/>
    <w:rsid w:val="0023604A"/>
    <w:rsid w:val="002419C5"/>
    <w:rsid w:val="0024444D"/>
    <w:rsid w:val="00257373"/>
    <w:rsid w:val="00261A45"/>
    <w:rsid w:val="00266198"/>
    <w:rsid w:val="00280844"/>
    <w:rsid w:val="00280F66"/>
    <w:rsid w:val="002810F0"/>
    <w:rsid w:val="00294C35"/>
    <w:rsid w:val="002A1F13"/>
    <w:rsid w:val="002A219E"/>
    <w:rsid w:val="002A6FD6"/>
    <w:rsid w:val="002B77CF"/>
    <w:rsid w:val="002B7E65"/>
    <w:rsid w:val="002C1135"/>
    <w:rsid w:val="002C25A9"/>
    <w:rsid w:val="002C4DAE"/>
    <w:rsid w:val="002D4063"/>
    <w:rsid w:val="003063B3"/>
    <w:rsid w:val="003071AC"/>
    <w:rsid w:val="003102C8"/>
    <w:rsid w:val="003112EB"/>
    <w:rsid w:val="003138D9"/>
    <w:rsid w:val="003251B6"/>
    <w:rsid w:val="00327CF7"/>
    <w:rsid w:val="00332CDB"/>
    <w:rsid w:val="003534C7"/>
    <w:rsid w:val="00360732"/>
    <w:rsid w:val="0036255C"/>
    <w:rsid w:val="00363D10"/>
    <w:rsid w:val="00363D46"/>
    <w:rsid w:val="00371741"/>
    <w:rsid w:val="003722D6"/>
    <w:rsid w:val="00373593"/>
    <w:rsid w:val="0038778A"/>
    <w:rsid w:val="00391726"/>
    <w:rsid w:val="00391CBE"/>
    <w:rsid w:val="003A1CD8"/>
    <w:rsid w:val="003C0622"/>
    <w:rsid w:val="003C42D9"/>
    <w:rsid w:val="003C6350"/>
    <w:rsid w:val="003C7A6F"/>
    <w:rsid w:val="003D533D"/>
    <w:rsid w:val="003D72CF"/>
    <w:rsid w:val="003E26EE"/>
    <w:rsid w:val="003E28C3"/>
    <w:rsid w:val="003E3D09"/>
    <w:rsid w:val="003E4A82"/>
    <w:rsid w:val="00407B4D"/>
    <w:rsid w:val="00410D53"/>
    <w:rsid w:val="00415FC9"/>
    <w:rsid w:val="00430E40"/>
    <w:rsid w:val="00432589"/>
    <w:rsid w:val="00440B9F"/>
    <w:rsid w:val="004567BF"/>
    <w:rsid w:val="00457893"/>
    <w:rsid w:val="0046508C"/>
    <w:rsid w:val="00483C97"/>
    <w:rsid w:val="00484A48"/>
    <w:rsid w:val="00490DF2"/>
    <w:rsid w:val="00493087"/>
    <w:rsid w:val="004A0168"/>
    <w:rsid w:val="004A1B4A"/>
    <w:rsid w:val="004A3391"/>
    <w:rsid w:val="004E69D8"/>
    <w:rsid w:val="004F3970"/>
    <w:rsid w:val="00510C2C"/>
    <w:rsid w:val="0052171F"/>
    <w:rsid w:val="00524798"/>
    <w:rsid w:val="00546618"/>
    <w:rsid w:val="0056197E"/>
    <w:rsid w:val="00561B4B"/>
    <w:rsid w:val="00564B83"/>
    <w:rsid w:val="00566921"/>
    <w:rsid w:val="00572384"/>
    <w:rsid w:val="00577047"/>
    <w:rsid w:val="005A19B7"/>
    <w:rsid w:val="005A21F4"/>
    <w:rsid w:val="005A286A"/>
    <w:rsid w:val="005B307C"/>
    <w:rsid w:val="005C0705"/>
    <w:rsid w:val="005C6F72"/>
    <w:rsid w:val="005D2891"/>
    <w:rsid w:val="005D73AA"/>
    <w:rsid w:val="005E05C4"/>
    <w:rsid w:val="005E3DBD"/>
    <w:rsid w:val="005E5D76"/>
    <w:rsid w:val="005F4229"/>
    <w:rsid w:val="005F6987"/>
    <w:rsid w:val="0060079D"/>
    <w:rsid w:val="00603887"/>
    <w:rsid w:val="006058C5"/>
    <w:rsid w:val="0062514E"/>
    <w:rsid w:val="0062626E"/>
    <w:rsid w:val="00626EAE"/>
    <w:rsid w:val="00630676"/>
    <w:rsid w:val="006441B2"/>
    <w:rsid w:val="00655147"/>
    <w:rsid w:val="00656962"/>
    <w:rsid w:val="006779EE"/>
    <w:rsid w:val="00684C6C"/>
    <w:rsid w:val="006921B6"/>
    <w:rsid w:val="00693E00"/>
    <w:rsid w:val="00694F10"/>
    <w:rsid w:val="006B2367"/>
    <w:rsid w:val="006B66C6"/>
    <w:rsid w:val="006C501F"/>
    <w:rsid w:val="006D0703"/>
    <w:rsid w:val="006E7D7A"/>
    <w:rsid w:val="006F0E22"/>
    <w:rsid w:val="006F5552"/>
    <w:rsid w:val="0070737D"/>
    <w:rsid w:val="00725A62"/>
    <w:rsid w:val="00732A3F"/>
    <w:rsid w:val="00732CC4"/>
    <w:rsid w:val="00742F25"/>
    <w:rsid w:val="00744153"/>
    <w:rsid w:val="0074601F"/>
    <w:rsid w:val="00747389"/>
    <w:rsid w:val="007662EE"/>
    <w:rsid w:val="0077110A"/>
    <w:rsid w:val="00791183"/>
    <w:rsid w:val="00793312"/>
    <w:rsid w:val="00796110"/>
    <w:rsid w:val="007A45B9"/>
    <w:rsid w:val="007B6D83"/>
    <w:rsid w:val="007C0421"/>
    <w:rsid w:val="007C6183"/>
    <w:rsid w:val="007E51E5"/>
    <w:rsid w:val="007E6AB4"/>
    <w:rsid w:val="007E7923"/>
    <w:rsid w:val="007E79C8"/>
    <w:rsid w:val="007F15A8"/>
    <w:rsid w:val="00801675"/>
    <w:rsid w:val="00821993"/>
    <w:rsid w:val="008250D7"/>
    <w:rsid w:val="008342BC"/>
    <w:rsid w:val="00843428"/>
    <w:rsid w:val="00843D9E"/>
    <w:rsid w:val="00851234"/>
    <w:rsid w:val="00853F77"/>
    <w:rsid w:val="00856385"/>
    <w:rsid w:val="0086568B"/>
    <w:rsid w:val="0087634D"/>
    <w:rsid w:val="00876ABE"/>
    <w:rsid w:val="00884901"/>
    <w:rsid w:val="0088777B"/>
    <w:rsid w:val="008B688B"/>
    <w:rsid w:val="008B68F4"/>
    <w:rsid w:val="008C4266"/>
    <w:rsid w:val="008E1940"/>
    <w:rsid w:val="008E4B73"/>
    <w:rsid w:val="008F039F"/>
    <w:rsid w:val="0090246A"/>
    <w:rsid w:val="00920B2C"/>
    <w:rsid w:val="009239FF"/>
    <w:rsid w:val="0093453A"/>
    <w:rsid w:val="00942A14"/>
    <w:rsid w:val="00964673"/>
    <w:rsid w:val="009751E4"/>
    <w:rsid w:val="00977AD4"/>
    <w:rsid w:val="0098069E"/>
    <w:rsid w:val="00983817"/>
    <w:rsid w:val="00986189"/>
    <w:rsid w:val="0098798F"/>
    <w:rsid w:val="00990600"/>
    <w:rsid w:val="00995287"/>
    <w:rsid w:val="00995995"/>
    <w:rsid w:val="00996B9D"/>
    <w:rsid w:val="009A2367"/>
    <w:rsid w:val="009A2DA2"/>
    <w:rsid w:val="009A2DC7"/>
    <w:rsid w:val="009A4041"/>
    <w:rsid w:val="009B29CB"/>
    <w:rsid w:val="009B5BE9"/>
    <w:rsid w:val="009C1A3E"/>
    <w:rsid w:val="009C24B9"/>
    <w:rsid w:val="009C322F"/>
    <w:rsid w:val="009C5C00"/>
    <w:rsid w:val="009C7117"/>
    <w:rsid w:val="009E6F0A"/>
    <w:rsid w:val="009F2AE4"/>
    <w:rsid w:val="009F6EDB"/>
    <w:rsid w:val="00A00D7A"/>
    <w:rsid w:val="00A02BAA"/>
    <w:rsid w:val="00A105CB"/>
    <w:rsid w:val="00A15807"/>
    <w:rsid w:val="00A25509"/>
    <w:rsid w:val="00A31E7B"/>
    <w:rsid w:val="00A33D2C"/>
    <w:rsid w:val="00A43FD7"/>
    <w:rsid w:val="00A4576C"/>
    <w:rsid w:val="00A57838"/>
    <w:rsid w:val="00A86A9A"/>
    <w:rsid w:val="00A876B3"/>
    <w:rsid w:val="00A9366E"/>
    <w:rsid w:val="00A93B21"/>
    <w:rsid w:val="00A97509"/>
    <w:rsid w:val="00AA08B8"/>
    <w:rsid w:val="00AA7E2E"/>
    <w:rsid w:val="00AB040A"/>
    <w:rsid w:val="00AB21E3"/>
    <w:rsid w:val="00AB380A"/>
    <w:rsid w:val="00AB3F81"/>
    <w:rsid w:val="00AB4B4B"/>
    <w:rsid w:val="00AB4B52"/>
    <w:rsid w:val="00AB5638"/>
    <w:rsid w:val="00AD2280"/>
    <w:rsid w:val="00AD3074"/>
    <w:rsid w:val="00AD51F9"/>
    <w:rsid w:val="00AE1E86"/>
    <w:rsid w:val="00AE27DC"/>
    <w:rsid w:val="00B050AD"/>
    <w:rsid w:val="00B1052A"/>
    <w:rsid w:val="00B15B39"/>
    <w:rsid w:val="00B25F0D"/>
    <w:rsid w:val="00B27708"/>
    <w:rsid w:val="00B36F52"/>
    <w:rsid w:val="00B607CD"/>
    <w:rsid w:val="00B87554"/>
    <w:rsid w:val="00BB4D68"/>
    <w:rsid w:val="00BD6B83"/>
    <w:rsid w:val="00BE67ED"/>
    <w:rsid w:val="00BF305F"/>
    <w:rsid w:val="00BF330A"/>
    <w:rsid w:val="00C1155A"/>
    <w:rsid w:val="00C12ACC"/>
    <w:rsid w:val="00C2127C"/>
    <w:rsid w:val="00C256EC"/>
    <w:rsid w:val="00C266DA"/>
    <w:rsid w:val="00C304A0"/>
    <w:rsid w:val="00C346A7"/>
    <w:rsid w:val="00C410BD"/>
    <w:rsid w:val="00C42144"/>
    <w:rsid w:val="00C50EF0"/>
    <w:rsid w:val="00C5536E"/>
    <w:rsid w:val="00C6261A"/>
    <w:rsid w:val="00C63A52"/>
    <w:rsid w:val="00C664A0"/>
    <w:rsid w:val="00C71836"/>
    <w:rsid w:val="00C81C67"/>
    <w:rsid w:val="00C94A3B"/>
    <w:rsid w:val="00C97F19"/>
    <w:rsid w:val="00CB4B1D"/>
    <w:rsid w:val="00CD1FC1"/>
    <w:rsid w:val="00CD4A18"/>
    <w:rsid w:val="00CE67BA"/>
    <w:rsid w:val="00CF00C1"/>
    <w:rsid w:val="00CF238C"/>
    <w:rsid w:val="00CF6AF0"/>
    <w:rsid w:val="00CF7396"/>
    <w:rsid w:val="00D026FA"/>
    <w:rsid w:val="00D10351"/>
    <w:rsid w:val="00D267A6"/>
    <w:rsid w:val="00D3229D"/>
    <w:rsid w:val="00D44119"/>
    <w:rsid w:val="00D448F7"/>
    <w:rsid w:val="00D46797"/>
    <w:rsid w:val="00D52373"/>
    <w:rsid w:val="00D80864"/>
    <w:rsid w:val="00D85859"/>
    <w:rsid w:val="00D905E3"/>
    <w:rsid w:val="00D90928"/>
    <w:rsid w:val="00D95048"/>
    <w:rsid w:val="00D97574"/>
    <w:rsid w:val="00DA76BE"/>
    <w:rsid w:val="00DB582D"/>
    <w:rsid w:val="00DD0970"/>
    <w:rsid w:val="00DF0488"/>
    <w:rsid w:val="00DF21E5"/>
    <w:rsid w:val="00DF5102"/>
    <w:rsid w:val="00E123D2"/>
    <w:rsid w:val="00E14067"/>
    <w:rsid w:val="00E1434A"/>
    <w:rsid w:val="00E15575"/>
    <w:rsid w:val="00E17033"/>
    <w:rsid w:val="00E32774"/>
    <w:rsid w:val="00E32C4E"/>
    <w:rsid w:val="00E36B6F"/>
    <w:rsid w:val="00E41129"/>
    <w:rsid w:val="00E423B4"/>
    <w:rsid w:val="00E43A55"/>
    <w:rsid w:val="00E46485"/>
    <w:rsid w:val="00E53534"/>
    <w:rsid w:val="00E647A0"/>
    <w:rsid w:val="00E67F0D"/>
    <w:rsid w:val="00E7175F"/>
    <w:rsid w:val="00E76C11"/>
    <w:rsid w:val="00E85A52"/>
    <w:rsid w:val="00E913A3"/>
    <w:rsid w:val="00EA0C76"/>
    <w:rsid w:val="00EA282D"/>
    <w:rsid w:val="00EC3BD9"/>
    <w:rsid w:val="00ED165E"/>
    <w:rsid w:val="00ED2AB9"/>
    <w:rsid w:val="00ED7D8B"/>
    <w:rsid w:val="00EE31AA"/>
    <w:rsid w:val="00EE507E"/>
    <w:rsid w:val="00EF2058"/>
    <w:rsid w:val="00F01DE2"/>
    <w:rsid w:val="00F143F9"/>
    <w:rsid w:val="00F2416F"/>
    <w:rsid w:val="00F55C03"/>
    <w:rsid w:val="00F62770"/>
    <w:rsid w:val="00F66712"/>
    <w:rsid w:val="00F72605"/>
    <w:rsid w:val="00F85928"/>
    <w:rsid w:val="00F90B72"/>
    <w:rsid w:val="00FA16CC"/>
    <w:rsid w:val="00FB2D21"/>
    <w:rsid w:val="00FB7CFF"/>
    <w:rsid w:val="00FE62B5"/>
    <w:rsid w:val="00FE7924"/>
    <w:rsid w:val="00FF12D5"/>
    <w:rsid w:val="00FF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FDEB8"/>
  <w15:docId w15:val="{4CFD0464-365F-4FF3-BDC7-384BFAB6C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66E"/>
    <w:pPr>
      <w:suppressAutoHyphens/>
      <w:spacing w:after="0" w:line="276" w:lineRule="auto"/>
    </w:pPr>
    <w:rPr>
      <w:rFonts w:ascii="Calibri" w:eastAsia="Droid Sans Fallback" w:hAnsi="Calibri" w:cs="Calibri"/>
      <w:color w:val="00000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9366E"/>
    <w:pPr>
      <w:tabs>
        <w:tab w:val="center" w:pos="4252"/>
        <w:tab w:val="right" w:pos="8504"/>
      </w:tabs>
      <w:suppressAutoHyphens w:val="0"/>
      <w:spacing w:line="240" w:lineRule="auto"/>
    </w:pPr>
    <w:rPr>
      <w:rFonts w:asciiTheme="minorHAnsi" w:eastAsiaTheme="minorHAnsi" w:hAnsiTheme="minorHAnsi" w:cstheme="minorBidi"/>
      <w:color w:val="auto"/>
    </w:rPr>
  </w:style>
  <w:style w:type="character" w:customStyle="1" w:styleId="CabealhoChar">
    <w:name w:val="Cabeçalho Char"/>
    <w:basedOn w:val="Fontepargpadro"/>
    <w:link w:val="Cabealho"/>
    <w:uiPriority w:val="99"/>
    <w:rsid w:val="00A9366E"/>
  </w:style>
  <w:style w:type="paragraph" w:styleId="Rodap">
    <w:name w:val="footer"/>
    <w:basedOn w:val="Normal"/>
    <w:link w:val="RodapChar"/>
    <w:uiPriority w:val="99"/>
    <w:unhideWhenUsed/>
    <w:rsid w:val="00A9366E"/>
    <w:pPr>
      <w:tabs>
        <w:tab w:val="center" w:pos="4252"/>
        <w:tab w:val="right" w:pos="8504"/>
      </w:tabs>
      <w:suppressAutoHyphens w:val="0"/>
      <w:spacing w:line="240" w:lineRule="auto"/>
    </w:pPr>
    <w:rPr>
      <w:rFonts w:asciiTheme="minorHAnsi" w:eastAsiaTheme="minorHAnsi" w:hAnsiTheme="minorHAnsi" w:cstheme="minorBidi"/>
      <w:color w:val="auto"/>
    </w:rPr>
  </w:style>
  <w:style w:type="character" w:customStyle="1" w:styleId="RodapChar">
    <w:name w:val="Rodapé Char"/>
    <w:basedOn w:val="Fontepargpadro"/>
    <w:link w:val="Rodap"/>
    <w:uiPriority w:val="99"/>
    <w:rsid w:val="00A9366E"/>
  </w:style>
  <w:style w:type="character" w:styleId="Hyperlink">
    <w:name w:val="Hyperlink"/>
    <w:basedOn w:val="Fontepargpadro"/>
    <w:uiPriority w:val="99"/>
    <w:unhideWhenUsed/>
    <w:rsid w:val="00A9366E"/>
    <w:rPr>
      <w:color w:val="0000FF"/>
      <w:u w:val="single"/>
    </w:rPr>
  </w:style>
  <w:style w:type="table" w:styleId="Tabelacomgrade">
    <w:name w:val="Table Grid"/>
    <w:basedOn w:val="Tabelanormal"/>
    <w:rsid w:val="00A93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semiHidden/>
    <w:unhideWhenUsed/>
    <w:rsid w:val="00D85859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D85859"/>
    <w:rPr>
      <w:color w:val="954F72" w:themeColor="followedHyperlink"/>
      <w:u w:val="single"/>
    </w:rPr>
  </w:style>
  <w:style w:type="paragraph" w:styleId="PargrafodaLista">
    <w:name w:val="List Paragraph"/>
    <w:basedOn w:val="Normal"/>
    <w:uiPriority w:val="34"/>
    <w:qFormat/>
    <w:rsid w:val="00C97F19"/>
    <w:pPr>
      <w:ind w:left="720"/>
      <w:contextualSpacing/>
    </w:pPr>
  </w:style>
  <w:style w:type="paragraph" w:styleId="SemEspaamento">
    <w:name w:val="No Spacing"/>
    <w:link w:val="SemEspaamentoChar"/>
    <w:uiPriority w:val="1"/>
    <w:qFormat/>
    <w:rsid w:val="00BD6B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emEspaamentoChar">
    <w:name w:val="Sem Espaçamento Char"/>
    <w:link w:val="SemEspaamento"/>
    <w:uiPriority w:val="1"/>
    <w:rsid w:val="00BD6B8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0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66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9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54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93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18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42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96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59863-6DBD-49BF-8C3F-CD7EE6612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1774</Words>
  <Characters>9585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santana dos santos</dc:creator>
  <cp:keywords/>
  <dc:description/>
  <cp:lastModifiedBy>Adm</cp:lastModifiedBy>
  <cp:revision>95</cp:revision>
  <cp:lastPrinted>2026-04-27T11:16:00Z</cp:lastPrinted>
  <dcterms:created xsi:type="dcterms:W3CDTF">2026-04-13T10:48:00Z</dcterms:created>
  <dcterms:modified xsi:type="dcterms:W3CDTF">2026-04-27T11:17:00Z</dcterms:modified>
</cp:coreProperties>
</file>